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7694" w14:textId="77777777" w:rsidR="00254993" w:rsidRPr="00AC5A01" w:rsidRDefault="00254993" w:rsidP="00397A32">
      <w:pPr>
        <w:jc w:val="center"/>
        <w:rPr>
          <w:rFonts w:ascii="Times New Roman" w:hAnsi="Times New Roman" w:cs="Times New Roman"/>
          <w:b/>
        </w:rPr>
      </w:pPr>
    </w:p>
    <w:p w14:paraId="05F19B95" w14:textId="77777777" w:rsidR="0011413A" w:rsidRPr="0011413A" w:rsidRDefault="00AC5A01" w:rsidP="0011413A">
      <w:pPr>
        <w:pStyle w:val="a3"/>
        <w:ind w:left="4956" w:firstLine="708"/>
        <w:rPr>
          <w:rFonts w:ascii="Times New Roman" w:hAnsi="Times New Roman" w:cs="Times New Roman"/>
        </w:rPr>
      </w:pPr>
      <w:r w:rsidRPr="0011413A">
        <w:rPr>
          <w:rFonts w:ascii="Times New Roman" w:hAnsi="Times New Roman" w:cs="Times New Roman"/>
        </w:rPr>
        <w:t xml:space="preserve">Додаток № 10 </w:t>
      </w:r>
    </w:p>
    <w:p w14:paraId="24C65869" w14:textId="77777777" w:rsidR="00100962" w:rsidRDefault="00AC5A01" w:rsidP="0011413A">
      <w:pPr>
        <w:pStyle w:val="a3"/>
        <w:ind w:left="5664"/>
        <w:rPr>
          <w:rFonts w:ascii="Times New Roman" w:hAnsi="Times New Roman" w:cs="Times New Roman"/>
        </w:rPr>
      </w:pPr>
      <w:r w:rsidRPr="0011413A">
        <w:rPr>
          <w:rFonts w:ascii="Times New Roman" w:hAnsi="Times New Roman" w:cs="Times New Roman"/>
        </w:rPr>
        <w:t>(нова редакція, діє з «</w:t>
      </w:r>
      <w:r w:rsidR="00100962">
        <w:rPr>
          <w:rFonts w:ascii="Times New Roman" w:hAnsi="Times New Roman" w:cs="Times New Roman"/>
        </w:rPr>
        <w:t>26</w:t>
      </w:r>
      <w:r w:rsidRPr="0011413A">
        <w:rPr>
          <w:rFonts w:ascii="Times New Roman" w:hAnsi="Times New Roman" w:cs="Times New Roman"/>
        </w:rPr>
        <w:t xml:space="preserve">» </w:t>
      </w:r>
      <w:r w:rsidRPr="0011413A">
        <w:rPr>
          <w:rFonts w:ascii="Times New Roman" w:hAnsi="Times New Roman" w:cs="Times New Roman"/>
          <w:noProof/>
          <w:lang w:val="ru-RU" w:eastAsia="ru-RU"/>
        </w:rPr>
        <w:drawing>
          <wp:anchor distT="0" distB="0" distL="114300" distR="114300" simplePos="0" relativeHeight="251657216" behindDoc="0" locked="0" layoutInCell="1" allowOverlap="1" wp14:anchorId="207B5C69" wp14:editId="3794F399">
            <wp:simplePos x="0" y="0"/>
            <wp:positionH relativeFrom="column">
              <wp:posOffset>0</wp:posOffset>
            </wp:positionH>
            <wp:positionV relativeFrom="paragraph">
              <wp:posOffset>183515</wp:posOffset>
            </wp:positionV>
            <wp:extent cx="1257300" cy="633095"/>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pic:spPr>
                </pic:pic>
              </a:graphicData>
            </a:graphic>
            <wp14:sizeRelH relativeFrom="page">
              <wp14:pctWidth>0</wp14:pctWidth>
            </wp14:sizeRelH>
            <wp14:sizeRelV relativeFrom="page">
              <wp14:pctHeight>0</wp14:pctHeight>
            </wp14:sizeRelV>
          </wp:anchor>
        </w:drawing>
      </w:r>
      <w:r w:rsidR="00100962">
        <w:rPr>
          <w:rFonts w:ascii="Times New Roman" w:hAnsi="Times New Roman" w:cs="Times New Roman"/>
        </w:rPr>
        <w:t xml:space="preserve">жовтня </w:t>
      </w:r>
      <w:r w:rsidR="004A7725">
        <w:rPr>
          <w:rFonts w:ascii="Times New Roman" w:hAnsi="Times New Roman" w:cs="Times New Roman"/>
        </w:rPr>
        <w:t>202</w:t>
      </w:r>
      <w:r w:rsidR="00100962">
        <w:rPr>
          <w:rFonts w:ascii="Times New Roman" w:hAnsi="Times New Roman" w:cs="Times New Roman"/>
        </w:rPr>
        <w:t xml:space="preserve">3 </w:t>
      </w:r>
      <w:r w:rsidRPr="0011413A">
        <w:rPr>
          <w:rFonts w:ascii="Times New Roman" w:hAnsi="Times New Roman" w:cs="Times New Roman"/>
        </w:rPr>
        <w:t>р</w:t>
      </w:r>
      <w:r w:rsidR="00100962">
        <w:rPr>
          <w:rFonts w:ascii="Times New Roman" w:hAnsi="Times New Roman" w:cs="Times New Roman"/>
        </w:rPr>
        <w:t>оку</w:t>
      </w:r>
    </w:p>
    <w:p w14:paraId="4709BF44" w14:textId="3EFCABF8" w:rsidR="00AC5A01" w:rsidRDefault="00AC5A01" w:rsidP="0011413A">
      <w:pPr>
        <w:pStyle w:val="a3"/>
        <w:ind w:left="5664"/>
        <w:rPr>
          <w:rFonts w:ascii="Times New Roman" w:hAnsi="Times New Roman" w:cs="Times New Roman"/>
        </w:rPr>
      </w:pPr>
      <w:r w:rsidRPr="0011413A">
        <w:rPr>
          <w:rFonts w:ascii="Times New Roman" w:hAnsi="Times New Roman" w:cs="Times New Roman"/>
        </w:rPr>
        <w:t xml:space="preserve">згідно з рішенням Правління АТ «СКАЙ БАНК» </w:t>
      </w:r>
      <w:r w:rsidRPr="00967649">
        <w:rPr>
          <w:rFonts w:ascii="Times New Roman" w:hAnsi="Times New Roman" w:cs="Times New Roman"/>
        </w:rPr>
        <w:t xml:space="preserve">протокол № </w:t>
      </w:r>
      <w:r w:rsidR="00967649">
        <w:rPr>
          <w:rFonts w:ascii="Times New Roman" w:hAnsi="Times New Roman" w:cs="Times New Roman"/>
        </w:rPr>
        <w:t>88/1</w:t>
      </w:r>
      <w:r w:rsidRPr="00967649">
        <w:rPr>
          <w:rFonts w:ascii="Times New Roman" w:hAnsi="Times New Roman" w:cs="Times New Roman"/>
        </w:rPr>
        <w:t xml:space="preserve"> від «</w:t>
      </w:r>
      <w:r w:rsidR="00100962" w:rsidRPr="00967649">
        <w:rPr>
          <w:rFonts w:ascii="Times New Roman" w:hAnsi="Times New Roman" w:cs="Times New Roman"/>
        </w:rPr>
        <w:t>2</w:t>
      </w:r>
      <w:r w:rsidR="00967649">
        <w:rPr>
          <w:rFonts w:ascii="Times New Roman" w:hAnsi="Times New Roman" w:cs="Times New Roman"/>
        </w:rPr>
        <w:t>3</w:t>
      </w:r>
      <w:r w:rsidRPr="00967649">
        <w:rPr>
          <w:rFonts w:ascii="Times New Roman" w:hAnsi="Times New Roman" w:cs="Times New Roman"/>
        </w:rPr>
        <w:t xml:space="preserve">» </w:t>
      </w:r>
      <w:r w:rsidR="00100962" w:rsidRPr="00967649">
        <w:rPr>
          <w:rFonts w:ascii="Times New Roman" w:hAnsi="Times New Roman" w:cs="Times New Roman"/>
        </w:rPr>
        <w:t>жовтня</w:t>
      </w:r>
      <w:r w:rsidRPr="00967649">
        <w:rPr>
          <w:rFonts w:ascii="Times New Roman" w:hAnsi="Times New Roman" w:cs="Times New Roman"/>
        </w:rPr>
        <w:t xml:space="preserve"> 202</w:t>
      </w:r>
      <w:r w:rsidR="00100962" w:rsidRPr="00967649">
        <w:rPr>
          <w:rFonts w:ascii="Times New Roman" w:hAnsi="Times New Roman" w:cs="Times New Roman"/>
        </w:rPr>
        <w:t>3</w:t>
      </w:r>
      <w:r w:rsidRPr="00967649">
        <w:rPr>
          <w:rFonts w:ascii="Times New Roman" w:hAnsi="Times New Roman" w:cs="Times New Roman"/>
        </w:rPr>
        <w:t>р.)</w:t>
      </w:r>
      <w:r w:rsidRPr="0011413A">
        <w:rPr>
          <w:rFonts w:ascii="Times New Roman" w:hAnsi="Times New Roman" w:cs="Times New Roman"/>
        </w:rPr>
        <w:t xml:space="preserve"> до Публічного договору про комплексне банківське обслуговування юридичних осіб та інших клієнтів АТ «СКАЙ БАНК»</w:t>
      </w:r>
    </w:p>
    <w:p w14:paraId="415C4D08" w14:textId="77777777" w:rsidR="00C471AB" w:rsidRDefault="00C471AB" w:rsidP="0011413A">
      <w:pPr>
        <w:pStyle w:val="a3"/>
        <w:ind w:left="5664"/>
        <w:rPr>
          <w:rFonts w:ascii="Times New Roman" w:hAnsi="Times New Roman" w:cs="Times New Roman"/>
        </w:rPr>
      </w:pPr>
    </w:p>
    <w:p w14:paraId="1C961133" w14:textId="77777777" w:rsidR="00EA43F9" w:rsidRPr="00EA43F9" w:rsidRDefault="00C471AB" w:rsidP="00EA43F9">
      <w:pPr>
        <w:shd w:val="clear" w:color="auto" w:fill="FFFFFF"/>
        <w:ind w:left="450" w:right="450"/>
        <w:jc w:val="center"/>
        <w:rPr>
          <w:rFonts w:ascii="Times New Roman" w:hAnsi="Times New Roman" w:cs="Times New Roman"/>
          <w:sz w:val="24"/>
          <w:szCs w:val="24"/>
        </w:rPr>
      </w:pPr>
      <w:r w:rsidRPr="00EA43F9">
        <w:rPr>
          <w:rFonts w:ascii="Times New Roman" w:hAnsi="Times New Roman" w:cs="Times New Roman"/>
          <w:b/>
          <w:bCs/>
          <w:color w:val="000000"/>
          <w:sz w:val="24"/>
          <w:szCs w:val="24"/>
        </w:rPr>
        <w:t>ДОВІДКА</w:t>
      </w:r>
      <w:r w:rsidRPr="00EA43F9">
        <w:rPr>
          <w:rFonts w:ascii="Times New Roman" w:hAnsi="Times New Roman" w:cs="Times New Roman"/>
          <w:color w:val="000000"/>
          <w:sz w:val="24"/>
          <w:szCs w:val="24"/>
        </w:rPr>
        <w:br/>
      </w:r>
      <w:r w:rsidRPr="00EA43F9">
        <w:rPr>
          <w:rFonts w:ascii="Times New Roman" w:hAnsi="Times New Roman" w:cs="Times New Roman"/>
          <w:b/>
          <w:bCs/>
          <w:color w:val="000000"/>
          <w:sz w:val="24"/>
          <w:szCs w:val="24"/>
        </w:rPr>
        <w:t>про систему гарантування вкладів фізичних осіб</w:t>
      </w:r>
      <w:r w:rsidRPr="00EA43F9">
        <w:rPr>
          <w:rFonts w:ascii="Times New Roman" w:hAnsi="Times New Roman" w:cs="Times New Roman"/>
          <w:sz w:val="24"/>
          <w:szCs w:val="24"/>
        </w:rPr>
        <w:t xml:space="preserve"> </w:t>
      </w:r>
    </w:p>
    <w:tbl>
      <w:tblPr>
        <w:tblW w:w="5000" w:type="pct"/>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2434"/>
        <w:gridCol w:w="3384"/>
        <w:gridCol w:w="4371"/>
      </w:tblGrid>
      <w:tr w:rsidR="00EA43F9" w:rsidRPr="00D56EB7" w14:paraId="137EE318" w14:textId="77777777" w:rsidTr="002669FA">
        <w:trPr>
          <w:trHeight w:val="492"/>
        </w:trPr>
        <w:tc>
          <w:tcPr>
            <w:tcW w:w="5000" w:type="pct"/>
            <w:gridSpan w:val="3"/>
            <w:tcBorders>
              <w:top w:val="single" w:sz="6" w:space="0" w:color="000000"/>
              <w:left w:val="single" w:sz="6" w:space="0" w:color="000000"/>
              <w:bottom w:val="single" w:sz="6" w:space="0" w:color="000000"/>
              <w:right w:val="single" w:sz="6" w:space="0" w:color="000000"/>
            </w:tcBorders>
            <w:hideMark/>
          </w:tcPr>
          <w:p w14:paraId="441E817B" w14:textId="77777777" w:rsidR="00EA43F9" w:rsidRPr="00D56EB7" w:rsidRDefault="00EA43F9" w:rsidP="002669FA">
            <w:pPr>
              <w:tabs>
                <w:tab w:val="right" w:pos="7710"/>
                <w:tab w:val="right" w:pos="11514"/>
              </w:tabs>
              <w:autoSpaceDE w:val="0"/>
              <w:autoSpaceDN w:val="0"/>
              <w:adjustRightInd w:val="0"/>
              <w:jc w:val="center"/>
              <w:textAlignment w:val="center"/>
              <w:rPr>
                <w:rFonts w:ascii="Times New Roman" w:hAnsi="Times New Roman" w:cs="Times New Roman"/>
                <w:color w:val="000000"/>
                <w:sz w:val="24"/>
                <w:szCs w:val="24"/>
              </w:rPr>
            </w:pPr>
            <w:r w:rsidRPr="00D56EB7">
              <w:rPr>
                <w:rFonts w:ascii="Times New Roman" w:hAnsi="Times New Roman" w:cs="Times New Roman"/>
                <w:color w:val="000000"/>
                <w:sz w:val="24"/>
                <w:szCs w:val="24"/>
              </w:rPr>
              <w:t>Вклади</w:t>
            </w:r>
          </w:p>
          <w:p w14:paraId="615A2F1D" w14:textId="77777777" w:rsidR="00EA43F9" w:rsidRPr="00D56EB7" w:rsidRDefault="00EA43F9" w:rsidP="002669FA">
            <w:pPr>
              <w:tabs>
                <w:tab w:val="right" w:pos="7710"/>
                <w:tab w:val="right" w:pos="11514"/>
              </w:tabs>
              <w:autoSpaceDE w:val="0"/>
              <w:autoSpaceDN w:val="0"/>
              <w:adjustRightInd w:val="0"/>
              <w:jc w:val="center"/>
              <w:textAlignment w:val="center"/>
              <w:rPr>
                <w:rFonts w:ascii="Times New Roman" w:hAnsi="Times New Roman" w:cs="Times New Roman"/>
                <w:color w:val="000000"/>
                <w:sz w:val="24"/>
                <w:szCs w:val="24"/>
              </w:rPr>
            </w:pPr>
            <w:r w:rsidRPr="00D56EB7">
              <w:rPr>
                <w:rFonts w:ascii="Times New Roman" w:hAnsi="Times New Roman" w:cs="Times New Roman"/>
                <w:color w:val="000000"/>
                <w:sz w:val="24"/>
                <w:szCs w:val="24"/>
              </w:rPr>
              <w:t>у АКЦІОНЕРНОМУ ТОВАРИСТВІ «СКАЙ БАНК»</w:t>
            </w:r>
          </w:p>
          <w:p w14:paraId="5BCE46CC" w14:textId="77777777" w:rsidR="00EA43F9" w:rsidRPr="00D56EB7" w:rsidRDefault="00EA43F9" w:rsidP="002669FA">
            <w:pPr>
              <w:spacing w:before="150" w:after="150" w:line="240" w:lineRule="auto"/>
              <w:jc w:val="center"/>
              <w:rPr>
                <w:rFonts w:ascii="Times New Roman" w:eastAsia="Times New Roman" w:hAnsi="Times New Roman" w:cs="Times New Roman"/>
                <w:sz w:val="24"/>
                <w:szCs w:val="24"/>
                <w:lang w:eastAsia="uk-UA"/>
              </w:rPr>
            </w:pPr>
            <w:r w:rsidRPr="00EA43F9">
              <w:rPr>
                <w:rFonts w:ascii="Times New Roman" w:hAnsi="Times New Roman" w:cs="Times New Roman"/>
                <w:sz w:val="24"/>
                <w:szCs w:val="24"/>
                <w:shd w:val="clear" w:color="auto" w:fill="FFFFFF"/>
              </w:rPr>
              <w:t>Свідоцтво учасника Фонду гарантування вкладів фізичних осіб № 058 від 05.07.2018 року</w:t>
            </w:r>
            <w:r w:rsidRPr="00EA43F9">
              <w:rPr>
                <w:rFonts w:ascii="Times New Roman" w:hAnsi="Times New Roman" w:cs="Times New Roman"/>
                <w:sz w:val="24"/>
                <w:szCs w:val="24"/>
              </w:rPr>
              <w:br/>
              <w:t>гарантовано Фондом</w:t>
            </w:r>
          </w:p>
        </w:tc>
      </w:tr>
      <w:tr w:rsidR="00EA43F9" w:rsidRPr="00D56EB7" w14:paraId="6B948E15" w14:textId="77777777" w:rsidTr="002669FA">
        <w:trPr>
          <w:trHeight w:val="660"/>
        </w:trPr>
        <w:tc>
          <w:tcPr>
            <w:tcW w:w="1200" w:type="pct"/>
            <w:tcBorders>
              <w:top w:val="single" w:sz="6" w:space="0" w:color="000000"/>
              <w:left w:val="single" w:sz="6" w:space="0" w:color="000000"/>
              <w:bottom w:val="single" w:sz="6" w:space="0" w:color="000000"/>
              <w:right w:val="single" w:sz="6" w:space="0" w:color="000000"/>
            </w:tcBorders>
            <w:hideMark/>
          </w:tcPr>
          <w:p w14:paraId="05DAC12D"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Обмеження гарантії</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34318A54"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Кожному вкладнику відшкодовуються кошти в розмірі вкладу (включно з відсотками) станом на кінець дня, що передує дню початку процедури виведення Фондом банку з ринку, але не більше суми граничного розміру відшкодування коштів за вкладами, встановленого на цей день, незалежно від кількості вкладів в одному банку.</w:t>
            </w:r>
            <w:r w:rsidRPr="00D56EB7">
              <w:rPr>
                <w:rFonts w:ascii="Times New Roman" w:eastAsia="Times New Roman" w:hAnsi="Times New Roman" w:cs="Times New Roman"/>
                <w:sz w:val="24"/>
                <w:szCs w:val="24"/>
                <w:lang w:eastAsia="uk-UA"/>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6" w:anchor="n1334" w:tgtFrame="_blank" w:history="1">
              <w:r w:rsidRPr="00D56EB7">
                <w:rPr>
                  <w:rFonts w:ascii="Times New Roman" w:eastAsia="Times New Roman" w:hAnsi="Times New Roman" w:cs="Times New Roman"/>
                  <w:color w:val="000099"/>
                  <w:sz w:val="24"/>
                  <w:szCs w:val="24"/>
                  <w:u w:val="single"/>
                  <w:lang w:eastAsia="uk-UA"/>
                </w:rPr>
                <w:t>частиною другою</w:t>
              </w:r>
            </w:hyperlink>
            <w:r w:rsidRPr="00D56EB7">
              <w:rPr>
                <w:rFonts w:ascii="Times New Roman" w:eastAsia="Times New Roman" w:hAnsi="Times New Roman" w:cs="Times New Roman"/>
                <w:sz w:val="24"/>
                <w:szCs w:val="24"/>
                <w:lang w:eastAsia="uk-UA"/>
              </w:rPr>
              <w:t> статті 77 Закону України «Про банки і банківську діяльність», кожному вкладнику гарантується відшкодування коштів за вкладами (включно з відсотками)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r w:rsidRPr="00D56EB7">
              <w:rPr>
                <w:rFonts w:ascii="Times New Roman" w:eastAsia="Times New Roman" w:hAnsi="Times New Roman" w:cs="Times New Roman"/>
                <w:sz w:val="24"/>
                <w:szCs w:val="24"/>
                <w:lang w:eastAsia="uk-UA"/>
              </w:rPr>
              <w:br/>
              <w:t>Через три місяці з дня, наступного за днем припинення чи скасування воєнного стану в Україні, введеного Указом Президента України «Про введення воєнного стану в Україні» від 24 лютого 2022 року</w:t>
            </w:r>
            <w:hyperlink r:id="rId7" w:tgtFrame="_blank" w:history="1">
              <w:r w:rsidRPr="00D56EB7">
                <w:rPr>
                  <w:rFonts w:ascii="Times New Roman" w:eastAsia="Times New Roman" w:hAnsi="Times New Roman" w:cs="Times New Roman"/>
                  <w:color w:val="000099"/>
                  <w:sz w:val="24"/>
                  <w:szCs w:val="24"/>
                  <w:u w:val="single"/>
                  <w:lang w:eastAsia="uk-UA"/>
                </w:rPr>
                <w:t> № 64/2022</w:t>
              </w:r>
            </w:hyperlink>
            <w:r w:rsidRPr="00D56EB7">
              <w:rPr>
                <w:rFonts w:ascii="Times New Roman" w:eastAsia="Times New Roman" w:hAnsi="Times New Roman" w:cs="Times New Roman"/>
                <w:sz w:val="24"/>
                <w:szCs w:val="24"/>
                <w:lang w:eastAsia="uk-UA"/>
              </w:rPr>
              <w:t>, затвердженим Законом України «Про затвердження Указу Президента України «Про введення воєнного стану в Україні» від 24 лютого 2022 року</w:t>
            </w:r>
            <w:hyperlink r:id="rId8" w:tgtFrame="_blank" w:history="1">
              <w:r w:rsidRPr="00D56EB7">
                <w:rPr>
                  <w:rFonts w:ascii="Times New Roman" w:eastAsia="Times New Roman" w:hAnsi="Times New Roman" w:cs="Times New Roman"/>
                  <w:color w:val="000099"/>
                  <w:sz w:val="24"/>
                  <w:szCs w:val="24"/>
                  <w:u w:val="single"/>
                  <w:lang w:eastAsia="uk-UA"/>
                </w:rPr>
                <w:t> № 2102-IX</w:t>
              </w:r>
            </w:hyperlink>
            <w:r w:rsidRPr="00D56EB7">
              <w:rPr>
                <w:rFonts w:ascii="Times New Roman" w:eastAsia="Times New Roman" w:hAnsi="Times New Roman" w:cs="Times New Roman"/>
                <w:sz w:val="24"/>
                <w:szCs w:val="24"/>
                <w:lang w:eastAsia="uk-UA"/>
              </w:rPr>
              <w:t> (далі - воєнний стан в Україні), сума граничного розміру відшкодування коштів за вкладами не може становити менше 600 тисяч гривень.</w:t>
            </w:r>
            <w:r w:rsidRPr="00D56EB7">
              <w:rPr>
                <w:rFonts w:ascii="Times New Roman" w:eastAsia="Times New Roman" w:hAnsi="Times New Roman" w:cs="Times New Roman"/>
                <w:sz w:val="24"/>
                <w:szCs w:val="24"/>
                <w:lang w:eastAsia="uk-UA"/>
              </w:rPr>
              <w:br/>
              <w:t>Протягом дії воєнного стану в Україні та трьох місяців з дня припинення чи скасування воєнного стану в Україні Фонд відшкодовує кожному вкладнику банку кошти в повному розмірі вкладу, включаючи відсотки, нараховані станом на кінець дня, що передує дню початку процедури виведення банку з ринку, крім випадків, передбачених </w:t>
            </w:r>
            <w:hyperlink r:id="rId9" w:anchor="n298" w:tgtFrame="_blank" w:history="1">
              <w:r w:rsidRPr="00D56EB7">
                <w:rPr>
                  <w:rFonts w:ascii="Times New Roman" w:eastAsia="Times New Roman" w:hAnsi="Times New Roman" w:cs="Times New Roman"/>
                  <w:color w:val="000099"/>
                  <w:sz w:val="24"/>
                  <w:szCs w:val="24"/>
                  <w:u w:val="single"/>
                  <w:lang w:eastAsia="uk-UA"/>
                </w:rPr>
                <w:t>частиною четвертою</w:t>
              </w:r>
            </w:hyperlink>
            <w:r w:rsidRPr="00D56EB7">
              <w:rPr>
                <w:rFonts w:ascii="Times New Roman" w:eastAsia="Times New Roman" w:hAnsi="Times New Roman" w:cs="Times New Roman"/>
                <w:sz w:val="24"/>
                <w:szCs w:val="24"/>
                <w:lang w:eastAsia="uk-UA"/>
              </w:rPr>
              <w:t> статті 26 Закону України «Про систему гарантування вкладів фізичних осіб».</w:t>
            </w:r>
            <w:r w:rsidRPr="00D56EB7">
              <w:rPr>
                <w:rFonts w:ascii="Times New Roman" w:eastAsia="Times New Roman" w:hAnsi="Times New Roman" w:cs="Times New Roman"/>
                <w:sz w:val="24"/>
                <w:szCs w:val="24"/>
                <w:lang w:eastAsia="uk-UA"/>
              </w:rPr>
              <w:br/>
              <w:t>Відповідно до </w:t>
            </w:r>
            <w:hyperlink r:id="rId10" w:anchor="n298" w:tgtFrame="_blank" w:history="1">
              <w:r w:rsidRPr="00D56EB7">
                <w:rPr>
                  <w:rFonts w:ascii="Times New Roman" w:eastAsia="Times New Roman" w:hAnsi="Times New Roman" w:cs="Times New Roman"/>
                  <w:color w:val="000099"/>
                  <w:sz w:val="24"/>
                  <w:szCs w:val="24"/>
                  <w:u w:val="single"/>
                  <w:lang w:eastAsia="uk-UA"/>
                </w:rPr>
                <w:t>частини четвертої</w:t>
              </w:r>
            </w:hyperlink>
            <w:r w:rsidRPr="00D56EB7">
              <w:rPr>
                <w:rFonts w:ascii="Times New Roman" w:eastAsia="Times New Roman" w:hAnsi="Times New Roman" w:cs="Times New Roman"/>
                <w:sz w:val="24"/>
                <w:szCs w:val="24"/>
                <w:lang w:eastAsia="uk-UA"/>
              </w:rPr>
              <w:t> статті 26 Закону України «Про систему гарантування вкладів фізичних осіб», не відшкодовуються кошти:</w:t>
            </w:r>
            <w:r w:rsidRPr="00D56EB7">
              <w:rPr>
                <w:rFonts w:ascii="Times New Roman" w:eastAsia="Times New Roman" w:hAnsi="Times New Roman" w:cs="Times New Roman"/>
                <w:sz w:val="24"/>
                <w:szCs w:val="24"/>
                <w:lang w:eastAsia="uk-UA"/>
              </w:rPr>
              <w:br/>
              <w:t>передані банку в довірче управління;</w:t>
            </w:r>
            <w:r w:rsidRPr="00D56EB7">
              <w:rPr>
                <w:rFonts w:ascii="Times New Roman" w:eastAsia="Times New Roman" w:hAnsi="Times New Roman" w:cs="Times New Roman"/>
                <w:sz w:val="24"/>
                <w:szCs w:val="24"/>
                <w:lang w:eastAsia="uk-UA"/>
              </w:rPr>
              <w:br/>
              <w:t>за вкладом у розмірі менше ніж 10 гривень;</w:t>
            </w:r>
            <w:r w:rsidRPr="00D56EB7">
              <w:rPr>
                <w:rFonts w:ascii="Times New Roman" w:eastAsia="Times New Roman" w:hAnsi="Times New Roman" w:cs="Times New Roman"/>
                <w:sz w:val="24"/>
                <w:szCs w:val="24"/>
                <w:lang w:eastAsia="uk-UA"/>
              </w:rPr>
              <w:br/>
              <w:t>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або до дня прийняття Національним банком України рішення про відкликання банківської ліцензії та ліквідацію банку з підстав, визначених </w:t>
            </w:r>
            <w:hyperlink r:id="rId11" w:anchor="n1334" w:tgtFrame="_blank" w:history="1">
              <w:r w:rsidRPr="00D56EB7">
                <w:rPr>
                  <w:rFonts w:ascii="Times New Roman" w:eastAsia="Times New Roman" w:hAnsi="Times New Roman" w:cs="Times New Roman"/>
                  <w:color w:val="000099"/>
                  <w:sz w:val="24"/>
                  <w:szCs w:val="24"/>
                  <w:u w:val="single"/>
                  <w:lang w:eastAsia="uk-UA"/>
                </w:rPr>
                <w:t>частиною другою</w:t>
              </w:r>
            </w:hyperlink>
            <w:r w:rsidRPr="00D56EB7">
              <w:rPr>
                <w:rFonts w:ascii="Times New Roman" w:eastAsia="Times New Roman" w:hAnsi="Times New Roman" w:cs="Times New Roman"/>
                <w:sz w:val="24"/>
                <w:szCs w:val="24"/>
                <w:lang w:eastAsia="uk-UA"/>
              </w:rPr>
              <w:t xml:space="preserve"> статті 77 Закону України «Про банки і </w:t>
            </w:r>
            <w:r w:rsidRPr="00D56EB7">
              <w:rPr>
                <w:rFonts w:ascii="Times New Roman" w:eastAsia="Times New Roman" w:hAnsi="Times New Roman" w:cs="Times New Roman"/>
                <w:sz w:val="24"/>
                <w:szCs w:val="24"/>
                <w:lang w:eastAsia="uk-UA"/>
              </w:rPr>
              <w:lastRenderedPageBreak/>
              <w:t>банківську діяльність»;</w:t>
            </w:r>
            <w:r w:rsidRPr="00D56EB7">
              <w:rPr>
                <w:rFonts w:ascii="Times New Roman" w:eastAsia="Times New Roman" w:hAnsi="Times New Roman" w:cs="Times New Roman"/>
                <w:sz w:val="24"/>
                <w:szCs w:val="24"/>
                <w:lang w:eastAsia="uk-UA"/>
              </w:rPr>
              <w:b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w:t>
            </w:r>
            <w:hyperlink r:id="rId12" w:anchor="n1334" w:tgtFrame="_blank" w:history="1">
              <w:r w:rsidRPr="00D56EB7">
                <w:rPr>
                  <w:rFonts w:ascii="Times New Roman" w:eastAsia="Times New Roman" w:hAnsi="Times New Roman" w:cs="Times New Roman"/>
                  <w:color w:val="000099"/>
                  <w:sz w:val="24"/>
                  <w:szCs w:val="24"/>
                  <w:u w:val="single"/>
                  <w:lang w:eastAsia="uk-UA"/>
                </w:rPr>
                <w:t>частиною другою</w:t>
              </w:r>
            </w:hyperlink>
            <w:r w:rsidRPr="00D56EB7">
              <w:rPr>
                <w:rFonts w:ascii="Times New Roman" w:eastAsia="Times New Roman" w:hAnsi="Times New Roman" w:cs="Times New Roman"/>
                <w:sz w:val="24"/>
                <w:szCs w:val="24"/>
                <w:lang w:eastAsia="uk-UA"/>
              </w:rPr>
              <w:t> статті 77 Закону України «Про банки і банківську діяльність»,- один рік до дня прийняття такого рішення);</w:t>
            </w:r>
            <w:r w:rsidRPr="00D56EB7">
              <w:rPr>
                <w:rFonts w:ascii="Times New Roman" w:eastAsia="Times New Roman" w:hAnsi="Times New Roman" w:cs="Times New Roman"/>
                <w:sz w:val="24"/>
                <w:szCs w:val="24"/>
                <w:lang w:eastAsia="uk-UA"/>
              </w:rPr>
              <w:br/>
              <w:t>розміщені на вклад власником істотної участі у банку;</w:t>
            </w:r>
            <w:r w:rsidRPr="00D56EB7">
              <w:rPr>
                <w:rFonts w:ascii="Times New Roman" w:eastAsia="Times New Roman" w:hAnsi="Times New Roman" w:cs="Times New Roman"/>
                <w:sz w:val="24"/>
                <w:szCs w:val="24"/>
                <w:lang w:eastAsia="uk-UA"/>
              </w:rPr>
              <w:b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w:t>
            </w:r>
            <w:hyperlink r:id="rId13" w:anchor="n901" w:tgtFrame="_blank" w:history="1">
              <w:r w:rsidRPr="00D56EB7">
                <w:rPr>
                  <w:rFonts w:ascii="Times New Roman" w:eastAsia="Times New Roman" w:hAnsi="Times New Roman" w:cs="Times New Roman"/>
                  <w:color w:val="000099"/>
                  <w:sz w:val="24"/>
                  <w:szCs w:val="24"/>
                  <w:u w:val="single"/>
                  <w:lang w:eastAsia="uk-UA"/>
                </w:rPr>
                <w:t>статті 52</w:t>
              </w:r>
            </w:hyperlink>
            <w:r w:rsidRPr="00D56EB7">
              <w:rPr>
                <w:rFonts w:ascii="Times New Roman" w:eastAsia="Times New Roman" w:hAnsi="Times New Roman" w:cs="Times New Roman"/>
                <w:sz w:val="24"/>
                <w:szCs w:val="24"/>
                <w:lang w:eastAsia="uk-UA"/>
              </w:rPr>
              <w:t> Закону України «Про банки і банківську діяльність», або мають інші фінансові привілеї від банку;</w:t>
            </w:r>
            <w:r w:rsidRPr="00D56EB7">
              <w:rPr>
                <w:rFonts w:ascii="Times New Roman" w:eastAsia="Times New Roman" w:hAnsi="Times New Roman" w:cs="Times New Roman"/>
                <w:sz w:val="24"/>
                <w:szCs w:val="24"/>
                <w:lang w:eastAsia="uk-UA"/>
              </w:rPr>
              <w:b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r w:rsidRPr="00D56EB7">
              <w:rPr>
                <w:rFonts w:ascii="Times New Roman" w:eastAsia="Times New Roman" w:hAnsi="Times New Roman" w:cs="Times New Roman"/>
                <w:sz w:val="24"/>
                <w:szCs w:val="24"/>
                <w:lang w:eastAsia="uk-UA"/>
              </w:rPr>
              <w:br/>
              <w:t>за вкладами у філіях іноземних банків;</w:t>
            </w:r>
            <w:r w:rsidRPr="00D56EB7">
              <w:rPr>
                <w:rFonts w:ascii="Times New Roman" w:eastAsia="Times New Roman" w:hAnsi="Times New Roman" w:cs="Times New Roman"/>
                <w:sz w:val="24"/>
                <w:szCs w:val="24"/>
                <w:lang w:eastAsia="uk-UA"/>
              </w:rPr>
              <w:br/>
              <w:t>за вкладами у банківських металах;</w:t>
            </w:r>
            <w:r w:rsidRPr="00D56EB7">
              <w:rPr>
                <w:rFonts w:ascii="Times New Roman" w:eastAsia="Times New Roman" w:hAnsi="Times New Roman" w:cs="Times New Roman"/>
                <w:sz w:val="24"/>
                <w:szCs w:val="24"/>
                <w:lang w:eastAsia="uk-UA"/>
              </w:rPr>
              <w:br/>
              <w:t>розміщені на рахунках, що перебувають під арештом за рішенням суду;</w:t>
            </w:r>
            <w:r w:rsidRPr="00D56EB7">
              <w:rPr>
                <w:rFonts w:ascii="Times New Roman" w:eastAsia="Times New Roman" w:hAnsi="Times New Roman" w:cs="Times New Roman"/>
                <w:sz w:val="24"/>
                <w:szCs w:val="24"/>
                <w:lang w:eastAsia="uk-UA"/>
              </w:rPr>
              <w:br/>
              <w:t xml:space="preserve">за вкладом, задоволення вимог за яким </w:t>
            </w:r>
            <w:proofErr w:type="spellStart"/>
            <w:r w:rsidRPr="00D56EB7">
              <w:rPr>
                <w:rFonts w:ascii="Times New Roman" w:eastAsia="Times New Roman" w:hAnsi="Times New Roman" w:cs="Times New Roman"/>
                <w:sz w:val="24"/>
                <w:szCs w:val="24"/>
                <w:lang w:eastAsia="uk-UA"/>
              </w:rPr>
              <w:t>зупинено</w:t>
            </w:r>
            <w:proofErr w:type="spellEnd"/>
            <w:r w:rsidRPr="00D56EB7">
              <w:rPr>
                <w:rFonts w:ascii="Times New Roman" w:eastAsia="Times New Roman" w:hAnsi="Times New Roman" w:cs="Times New Roman"/>
                <w:sz w:val="24"/>
                <w:szCs w:val="24"/>
                <w:lang w:eastAsia="uk-UA"/>
              </w:rPr>
              <w:t xml:space="preserve"> відповідно до </w:t>
            </w:r>
            <w:hyperlink r:id="rId14" w:tgtFrame="_blank" w:history="1">
              <w:r w:rsidRPr="00D56EB7">
                <w:rPr>
                  <w:rFonts w:ascii="Times New Roman" w:eastAsia="Times New Roman" w:hAnsi="Times New Roman" w:cs="Times New Roman"/>
                  <w:color w:val="000099"/>
                  <w:sz w:val="24"/>
                  <w:szCs w:val="24"/>
                  <w:u w:val="single"/>
                  <w:lang w:eastAsia="uk-UA"/>
                </w:rPr>
                <w:t>Закону України</w:t>
              </w:r>
            </w:hyperlink>
            <w:r w:rsidRPr="00D56EB7">
              <w:rPr>
                <w:rFonts w:ascii="Times New Roman" w:eastAsia="Times New Roman" w:hAnsi="Times New Roman" w:cs="Times New Roman"/>
                <w:sz w:val="24"/>
                <w:szCs w:val="24"/>
                <w:lang w:eastAsia="uk-UA"/>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D56EB7">
              <w:rPr>
                <w:rFonts w:ascii="Times New Roman" w:eastAsia="Times New Roman" w:hAnsi="Times New Roman" w:cs="Times New Roman"/>
                <w:sz w:val="24"/>
                <w:szCs w:val="24"/>
                <w:lang w:eastAsia="uk-UA"/>
              </w:rPr>
              <w:b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15" w:tgtFrame="_blank" w:history="1">
              <w:r w:rsidRPr="00D56EB7">
                <w:rPr>
                  <w:rFonts w:ascii="Times New Roman" w:eastAsia="Times New Roman" w:hAnsi="Times New Roman" w:cs="Times New Roman"/>
                  <w:color w:val="000099"/>
                  <w:sz w:val="24"/>
                  <w:szCs w:val="24"/>
                  <w:u w:val="single"/>
                  <w:lang w:eastAsia="uk-UA"/>
                </w:rPr>
                <w:t>Законі України</w:t>
              </w:r>
            </w:hyperlink>
            <w:r w:rsidRPr="00D56EB7">
              <w:rPr>
                <w:rFonts w:ascii="Times New Roman" w:eastAsia="Times New Roman" w:hAnsi="Times New Roman" w:cs="Times New Roman"/>
                <w:sz w:val="24"/>
                <w:szCs w:val="24"/>
                <w:lang w:eastAsia="uk-UA"/>
              </w:rPr>
              <w:t> «Про оборону України») або міждержавними об’єднаннями, або міжнародними організаціями та/або застосовано санкції відповідно до </w:t>
            </w:r>
            <w:hyperlink r:id="rId16" w:tgtFrame="_blank" w:history="1">
              <w:r w:rsidRPr="00D56EB7">
                <w:rPr>
                  <w:rFonts w:ascii="Times New Roman" w:eastAsia="Times New Roman" w:hAnsi="Times New Roman" w:cs="Times New Roman"/>
                  <w:color w:val="000099"/>
                  <w:sz w:val="24"/>
                  <w:szCs w:val="24"/>
                  <w:u w:val="single"/>
                  <w:lang w:eastAsia="uk-UA"/>
                </w:rPr>
                <w:t>Закону України</w:t>
              </w:r>
            </w:hyperlink>
            <w:r w:rsidRPr="00D56EB7">
              <w:rPr>
                <w:rFonts w:ascii="Times New Roman" w:eastAsia="Times New Roman" w:hAnsi="Times New Roman" w:cs="Times New Roman"/>
                <w:sz w:val="24"/>
                <w:szCs w:val="24"/>
                <w:lang w:eastAsia="uk-UA"/>
              </w:rPr>
              <w:t> «Про санкції».</w:t>
            </w:r>
          </w:p>
        </w:tc>
      </w:tr>
      <w:tr w:rsidR="00EA43F9" w:rsidRPr="00D56EB7" w14:paraId="2B7133B1" w14:textId="77777777" w:rsidTr="002669FA">
        <w:trPr>
          <w:trHeight w:val="660"/>
        </w:trPr>
        <w:tc>
          <w:tcPr>
            <w:tcW w:w="1200" w:type="pct"/>
            <w:tcBorders>
              <w:top w:val="single" w:sz="6" w:space="0" w:color="000000"/>
              <w:left w:val="single" w:sz="6" w:space="0" w:color="000000"/>
              <w:bottom w:val="single" w:sz="6" w:space="0" w:color="000000"/>
              <w:right w:val="single" w:sz="6" w:space="0" w:color="000000"/>
            </w:tcBorders>
            <w:hideMark/>
          </w:tcPr>
          <w:p w14:paraId="3D1BA61A"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lastRenderedPageBreak/>
              <w:t>Якщо у вкладника більше одного вкладу в банку</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68C011A1"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Фонд, відповідно до </w:t>
            </w:r>
            <w:hyperlink r:id="rId17" w:anchor="n291" w:tgtFrame="_blank" w:history="1">
              <w:r w:rsidRPr="00D56EB7">
                <w:rPr>
                  <w:rFonts w:ascii="Times New Roman" w:eastAsia="Times New Roman" w:hAnsi="Times New Roman" w:cs="Times New Roman"/>
                  <w:color w:val="000099"/>
                  <w:sz w:val="24"/>
                  <w:szCs w:val="24"/>
                  <w:u w:val="single"/>
                  <w:lang w:eastAsia="uk-UA"/>
                </w:rPr>
                <w:t>статті 26</w:t>
              </w:r>
            </w:hyperlink>
            <w:r w:rsidRPr="00D56EB7">
              <w:rPr>
                <w:rFonts w:ascii="Times New Roman" w:eastAsia="Times New Roman" w:hAnsi="Times New Roman" w:cs="Times New Roman"/>
                <w:sz w:val="24"/>
                <w:szCs w:val="24"/>
                <w:lang w:eastAsia="uk-UA"/>
              </w:rPr>
              <w:t> Закону України «Про систему гарантування вкладів фізичних осіб», відшкодовує кошти в розмірі вкладу (включно з відсотками), але не більше суми граничного розміру відшкодування коштів за вкладами, незалежно від кількості вкладів в одному банку.</w:t>
            </w:r>
          </w:p>
        </w:tc>
      </w:tr>
      <w:tr w:rsidR="00EA43F9" w:rsidRPr="00D56EB7" w14:paraId="108851B3" w14:textId="77777777" w:rsidTr="002669FA">
        <w:trPr>
          <w:trHeight w:val="2424"/>
        </w:trPr>
        <w:tc>
          <w:tcPr>
            <w:tcW w:w="1200" w:type="pct"/>
            <w:tcBorders>
              <w:top w:val="single" w:sz="6" w:space="0" w:color="000000"/>
              <w:left w:val="single" w:sz="6" w:space="0" w:color="000000"/>
              <w:bottom w:val="single" w:sz="6" w:space="0" w:color="000000"/>
              <w:right w:val="single" w:sz="6" w:space="0" w:color="000000"/>
            </w:tcBorders>
            <w:hideMark/>
          </w:tcPr>
          <w:p w14:paraId="30D8DDDA"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Період відшкодування коштів</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0AC3B1CA"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Виплата відшкодування коштів розпочинається в порядку та у черговості, встановлених Фондом, не пізніше ніж 20 робочих днів (для банків, база даних про вкладників яких містить інформацію про більше ніж 500000 рахунків,- не пізніше ніж 30 робочих днів) з дня початку процедури виведення Фондом банку з ринку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18" w:anchor="n1334" w:tgtFrame="_blank" w:history="1">
              <w:r w:rsidRPr="00D56EB7">
                <w:rPr>
                  <w:rFonts w:ascii="Times New Roman" w:eastAsia="Times New Roman" w:hAnsi="Times New Roman" w:cs="Times New Roman"/>
                  <w:color w:val="000099"/>
                  <w:sz w:val="24"/>
                  <w:szCs w:val="24"/>
                  <w:u w:val="single"/>
                  <w:lang w:eastAsia="uk-UA"/>
                </w:rPr>
                <w:t>частиною другою</w:t>
              </w:r>
            </w:hyperlink>
            <w:r w:rsidRPr="00D56EB7">
              <w:rPr>
                <w:rFonts w:ascii="Times New Roman" w:eastAsia="Times New Roman" w:hAnsi="Times New Roman" w:cs="Times New Roman"/>
                <w:sz w:val="24"/>
                <w:szCs w:val="24"/>
                <w:lang w:eastAsia="uk-UA"/>
              </w:rPr>
              <w:t> статті 77 Закону України «Про банки і банківську діяльність».</w:t>
            </w:r>
            <w:r w:rsidRPr="00D56EB7">
              <w:rPr>
                <w:rFonts w:ascii="Times New Roman" w:eastAsia="Times New Roman" w:hAnsi="Times New Roman" w:cs="Times New Roman"/>
                <w:sz w:val="24"/>
                <w:szCs w:val="24"/>
                <w:lang w:eastAsia="uk-UA"/>
              </w:rPr>
              <w:br/>
              <w:t>Фонд має право не включати до розрахунку гарантованої суми відшкодування кошти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w:t>
            </w:r>
            <w:r w:rsidRPr="00D56EB7">
              <w:rPr>
                <w:rFonts w:ascii="Times New Roman" w:eastAsia="Times New Roman" w:hAnsi="Times New Roman" w:cs="Times New Roman"/>
                <w:sz w:val="24"/>
                <w:szCs w:val="24"/>
                <w:lang w:eastAsia="uk-UA"/>
              </w:rPr>
              <w:b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tc>
      </w:tr>
      <w:tr w:rsidR="00EA43F9" w:rsidRPr="00D56EB7" w14:paraId="0CD7F8F0" w14:textId="77777777" w:rsidTr="002669FA">
        <w:trPr>
          <w:trHeight w:val="2124"/>
        </w:trPr>
        <w:tc>
          <w:tcPr>
            <w:tcW w:w="1200" w:type="pct"/>
            <w:tcBorders>
              <w:top w:val="single" w:sz="6" w:space="0" w:color="000000"/>
              <w:left w:val="single" w:sz="6" w:space="0" w:color="000000"/>
              <w:bottom w:val="single" w:sz="6" w:space="0" w:color="000000"/>
              <w:right w:val="single" w:sz="6" w:space="0" w:color="000000"/>
            </w:tcBorders>
            <w:hideMark/>
          </w:tcPr>
          <w:p w14:paraId="58B30629"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lastRenderedPageBreak/>
              <w:t>Валюта відшкодування</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67002D55"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Відшкодування коштів за вкладом в іноземній валюті відбувається у національній валюті України після перерахування суми вкладу за офіційним курсом гривні до іноземних валют, встановленим Національним банком України на кінець дня, що передує дню початку процедури виведення Фондом банку з ринку та здійснення тимчасової адміністрації відповідно до </w:t>
            </w:r>
            <w:hyperlink r:id="rId19" w:anchor="n399" w:tgtFrame="_blank" w:history="1">
              <w:r w:rsidRPr="00D56EB7">
                <w:rPr>
                  <w:rFonts w:ascii="Times New Roman" w:eastAsia="Times New Roman" w:hAnsi="Times New Roman" w:cs="Times New Roman"/>
                  <w:color w:val="000099"/>
                  <w:sz w:val="24"/>
                  <w:szCs w:val="24"/>
                  <w:u w:val="single"/>
                  <w:lang w:eastAsia="uk-UA"/>
                </w:rPr>
                <w:t>статті 36</w:t>
              </w:r>
            </w:hyperlink>
            <w:r w:rsidRPr="00D56EB7">
              <w:rPr>
                <w:rFonts w:ascii="Times New Roman" w:eastAsia="Times New Roman" w:hAnsi="Times New Roman" w:cs="Times New Roman"/>
                <w:sz w:val="24"/>
                <w:szCs w:val="24"/>
                <w:lang w:eastAsia="uk-UA"/>
              </w:rPr>
              <w:t> Закону України «Про систему гарантування вкладів фізичних осіб».</w:t>
            </w:r>
            <w:r w:rsidRPr="00D56EB7">
              <w:rPr>
                <w:rFonts w:ascii="Times New Roman" w:eastAsia="Times New Roman" w:hAnsi="Times New Roman" w:cs="Times New Roman"/>
                <w:sz w:val="24"/>
                <w:szCs w:val="24"/>
                <w:lang w:eastAsia="uk-UA"/>
              </w:rPr>
              <w:br/>
              <w:t>У разі прийняття Національним банком України рішення про відкликання банківської ліцензії та ліквідацію банку з підстав, визначених </w:t>
            </w:r>
            <w:hyperlink r:id="rId20" w:anchor="n1334" w:tgtFrame="_blank" w:history="1">
              <w:r w:rsidRPr="00D56EB7">
                <w:rPr>
                  <w:rFonts w:ascii="Times New Roman" w:eastAsia="Times New Roman" w:hAnsi="Times New Roman" w:cs="Times New Roman"/>
                  <w:color w:val="000099"/>
                  <w:sz w:val="24"/>
                  <w:szCs w:val="24"/>
                  <w:u w:val="single"/>
                  <w:lang w:eastAsia="uk-UA"/>
                </w:rPr>
                <w:t>частиною другою</w:t>
              </w:r>
            </w:hyperlink>
            <w:r w:rsidRPr="00D56EB7">
              <w:rPr>
                <w:rFonts w:ascii="Times New Roman" w:eastAsia="Times New Roman" w:hAnsi="Times New Roman" w:cs="Times New Roman"/>
                <w:sz w:val="24"/>
                <w:szCs w:val="24"/>
                <w:lang w:eastAsia="uk-UA"/>
              </w:rPr>
              <w:t> статті 77 Закону України «Про банки і банківську діяльність»,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станом на кінець дня, що передує дню початку процедури ліквідації банку.</w:t>
            </w:r>
          </w:p>
        </w:tc>
      </w:tr>
      <w:tr w:rsidR="00EA43F9" w:rsidRPr="00D56EB7" w14:paraId="13FF3323" w14:textId="77777777" w:rsidTr="002669FA">
        <w:trPr>
          <w:trHeight w:val="804"/>
        </w:trPr>
        <w:tc>
          <w:tcPr>
            <w:tcW w:w="1200" w:type="pct"/>
            <w:tcBorders>
              <w:top w:val="single" w:sz="6" w:space="0" w:color="000000"/>
              <w:left w:val="single" w:sz="6" w:space="0" w:color="000000"/>
              <w:bottom w:val="single" w:sz="6" w:space="0" w:color="000000"/>
              <w:right w:val="single" w:sz="6" w:space="0" w:color="000000"/>
            </w:tcBorders>
            <w:hideMark/>
          </w:tcPr>
          <w:p w14:paraId="5475C79C"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Контактна інформація Фонду</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45777CE5"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04053, м. Київ, вулиця Січових Стрільців, 17,</w:t>
            </w:r>
            <w:r w:rsidRPr="00D56EB7">
              <w:rPr>
                <w:rFonts w:ascii="Times New Roman" w:eastAsia="Times New Roman" w:hAnsi="Times New Roman" w:cs="Times New Roman"/>
                <w:sz w:val="24"/>
                <w:szCs w:val="24"/>
                <w:lang w:eastAsia="uk-UA"/>
              </w:rPr>
              <w:br/>
              <w:t>номер телефону гарячої лінії</w:t>
            </w:r>
            <w:r w:rsidRPr="00D56EB7">
              <w:rPr>
                <w:rFonts w:ascii="Times New Roman" w:eastAsia="Times New Roman" w:hAnsi="Times New Roman" w:cs="Times New Roman"/>
                <w:sz w:val="24"/>
                <w:szCs w:val="24"/>
                <w:lang w:eastAsia="uk-UA"/>
              </w:rPr>
              <w:br/>
              <w:t>0-800-105-800,</w:t>
            </w:r>
            <w:r w:rsidRPr="00D56EB7">
              <w:rPr>
                <w:rFonts w:ascii="Times New Roman" w:eastAsia="Times New Roman" w:hAnsi="Times New Roman" w:cs="Times New Roman"/>
                <w:sz w:val="24"/>
                <w:szCs w:val="24"/>
                <w:lang w:eastAsia="uk-UA"/>
              </w:rPr>
              <w:br/>
              <w:t>(044) 333-36-55</w:t>
            </w:r>
          </w:p>
        </w:tc>
      </w:tr>
      <w:tr w:rsidR="00EA43F9" w:rsidRPr="00D56EB7" w14:paraId="2D3F4437" w14:textId="77777777" w:rsidTr="002669FA">
        <w:trPr>
          <w:trHeight w:val="360"/>
        </w:trPr>
        <w:tc>
          <w:tcPr>
            <w:tcW w:w="1200" w:type="pct"/>
            <w:tcBorders>
              <w:top w:val="single" w:sz="6" w:space="0" w:color="000000"/>
              <w:left w:val="single" w:sz="6" w:space="0" w:color="000000"/>
              <w:bottom w:val="single" w:sz="6" w:space="0" w:color="000000"/>
              <w:right w:val="single" w:sz="6" w:space="0" w:color="000000"/>
            </w:tcBorders>
            <w:hideMark/>
          </w:tcPr>
          <w:p w14:paraId="4059864E"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Докладніша інформація</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458227D7"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http://www.fg.gov.ua</w:t>
            </w:r>
          </w:p>
        </w:tc>
      </w:tr>
      <w:tr w:rsidR="00EA43F9" w:rsidRPr="00D56EB7" w14:paraId="4CB1C8CD" w14:textId="77777777" w:rsidTr="002669FA">
        <w:trPr>
          <w:trHeight w:val="516"/>
        </w:trPr>
        <w:tc>
          <w:tcPr>
            <w:tcW w:w="1200" w:type="pct"/>
            <w:tcBorders>
              <w:top w:val="single" w:sz="6" w:space="0" w:color="000000"/>
              <w:left w:val="single" w:sz="6" w:space="0" w:color="000000"/>
              <w:bottom w:val="single" w:sz="6" w:space="0" w:color="000000"/>
              <w:right w:val="single" w:sz="6" w:space="0" w:color="000000"/>
            </w:tcBorders>
            <w:hideMark/>
          </w:tcPr>
          <w:p w14:paraId="6F28B50A"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Підтвердження одержання вкладником</w:t>
            </w:r>
          </w:p>
        </w:tc>
        <w:tc>
          <w:tcPr>
            <w:tcW w:w="1650" w:type="pct"/>
            <w:tcBorders>
              <w:top w:val="single" w:sz="6" w:space="0" w:color="000000"/>
              <w:left w:val="nil"/>
              <w:bottom w:val="nil"/>
              <w:right w:val="nil"/>
            </w:tcBorders>
            <w:hideMark/>
          </w:tcPr>
          <w:p w14:paraId="07B63048"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____________________________</w:t>
            </w:r>
            <w:r w:rsidRPr="00D56EB7">
              <w:rPr>
                <w:rFonts w:ascii="Times New Roman" w:eastAsia="Times New Roman" w:hAnsi="Times New Roman" w:cs="Times New Roman"/>
                <w:sz w:val="24"/>
                <w:szCs w:val="24"/>
                <w:lang w:eastAsia="uk-UA"/>
              </w:rPr>
              <w:br/>
            </w:r>
            <w:r w:rsidRPr="00D56EB7">
              <w:rPr>
                <w:rFonts w:ascii="Times New Roman" w:eastAsia="Times New Roman" w:hAnsi="Times New Roman" w:cs="Times New Roman"/>
                <w:sz w:val="20"/>
                <w:szCs w:val="20"/>
                <w:lang w:eastAsia="uk-UA"/>
              </w:rPr>
              <w:t>(підпис вкладника)</w:t>
            </w:r>
          </w:p>
        </w:tc>
        <w:tc>
          <w:tcPr>
            <w:tcW w:w="2150" w:type="pct"/>
            <w:tcBorders>
              <w:top w:val="single" w:sz="6" w:space="0" w:color="000000"/>
              <w:left w:val="nil"/>
              <w:bottom w:val="nil"/>
              <w:right w:val="single" w:sz="6" w:space="0" w:color="000000"/>
            </w:tcBorders>
            <w:hideMark/>
          </w:tcPr>
          <w:p w14:paraId="7366E024"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0"/>
                <w:szCs w:val="20"/>
                <w:lang w:eastAsia="uk-UA"/>
              </w:rPr>
              <w:br/>
            </w:r>
          </w:p>
        </w:tc>
      </w:tr>
      <w:tr w:rsidR="00EA43F9" w:rsidRPr="00D56EB7" w14:paraId="29ADE352" w14:textId="77777777" w:rsidTr="002669FA">
        <w:trPr>
          <w:trHeight w:val="2760"/>
        </w:trPr>
        <w:tc>
          <w:tcPr>
            <w:tcW w:w="1200" w:type="pct"/>
            <w:tcBorders>
              <w:top w:val="single" w:sz="6" w:space="0" w:color="000000"/>
              <w:left w:val="single" w:sz="6" w:space="0" w:color="000000"/>
              <w:bottom w:val="single" w:sz="6" w:space="0" w:color="000000"/>
              <w:right w:val="single" w:sz="6" w:space="0" w:color="000000"/>
            </w:tcBorders>
            <w:hideMark/>
          </w:tcPr>
          <w:p w14:paraId="5B7146E6" w14:textId="77777777" w:rsidR="00EA43F9" w:rsidRPr="00D56EB7" w:rsidRDefault="00EA43F9" w:rsidP="002669FA">
            <w:pPr>
              <w:spacing w:before="150" w:after="150" w:line="240" w:lineRule="auto"/>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Додаткова інформація</w:t>
            </w:r>
          </w:p>
        </w:tc>
        <w:tc>
          <w:tcPr>
            <w:tcW w:w="3800" w:type="pct"/>
            <w:gridSpan w:val="2"/>
            <w:tcBorders>
              <w:top w:val="single" w:sz="6" w:space="0" w:color="000000"/>
              <w:left w:val="single" w:sz="6" w:space="0" w:color="000000"/>
              <w:bottom w:val="single" w:sz="6" w:space="0" w:color="000000"/>
              <w:right w:val="single" w:sz="6" w:space="0" w:color="000000"/>
            </w:tcBorders>
            <w:hideMark/>
          </w:tcPr>
          <w:p w14:paraId="23B9CB02" w14:textId="77777777" w:rsidR="00EA43F9" w:rsidRPr="00D56EB7" w:rsidRDefault="00EA43F9" w:rsidP="00A43615">
            <w:pPr>
              <w:spacing w:before="150" w:after="150" w:line="240" w:lineRule="auto"/>
              <w:jc w:val="both"/>
              <w:rPr>
                <w:rFonts w:ascii="Times New Roman" w:eastAsia="Times New Roman" w:hAnsi="Times New Roman" w:cs="Times New Roman"/>
                <w:sz w:val="24"/>
                <w:szCs w:val="24"/>
                <w:lang w:eastAsia="uk-UA"/>
              </w:rPr>
            </w:pPr>
            <w:r w:rsidRPr="00D56EB7">
              <w:rPr>
                <w:rFonts w:ascii="Times New Roman" w:eastAsia="Times New Roman" w:hAnsi="Times New Roman" w:cs="Times New Roman"/>
                <w:sz w:val="24"/>
                <w:szCs w:val="24"/>
                <w:lang w:eastAsia="uk-UA"/>
              </w:rPr>
              <w:t>Терміни «вклад» та «вкладник» вживаються у значенні наведеному в </w:t>
            </w:r>
            <w:hyperlink r:id="rId21" w:tgtFrame="_blank" w:history="1">
              <w:r w:rsidRPr="00D56EB7">
                <w:rPr>
                  <w:rFonts w:ascii="Times New Roman" w:eastAsia="Times New Roman" w:hAnsi="Times New Roman" w:cs="Times New Roman"/>
                  <w:color w:val="000099"/>
                  <w:sz w:val="24"/>
                  <w:szCs w:val="24"/>
                  <w:u w:val="single"/>
                  <w:lang w:eastAsia="uk-UA"/>
                </w:rPr>
                <w:t>Законі України</w:t>
              </w:r>
            </w:hyperlink>
            <w:r w:rsidRPr="00D56EB7">
              <w:rPr>
                <w:rFonts w:ascii="Times New Roman" w:eastAsia="Times New Roman" w:hAnsi="Times New Roman" w:cs="Times New Roman"/>
                <w:sz w:val="24"/>
                <w:szCs w:val="24"/>
                <w:lang w:eastAsia="uk-UA"/>
              </w:rPr>
              <w:t> «Про систему гарантування вкладів фізичних осіб».</w:t>
            </w:r>
            <w:r w:rsidRPr="00D56EB7">
              <w:rPr>
                <w:rFonts w:ascii="Times New Roman" w:eastAsia="Times New Roman" w:hAnsi="Times New Roman" w:cs="Times New Roman"/>
                <w:sz w:val="24"/>
                <w:szCs w:val="24"/>
                <w:lang w:eastAsia="uk-UA"/>
              </w:rPr>
              <w:br/>
              <w:t>Банк повідомляє вкладнику на його запит про поширення гарантій Фонду на відшкодування коштів за його вкладом відповідно до Закону України «Про систему гарантування вкладів фізичних осіб».</w:t>
            </w:r>
            <w:r w:rsidRPr="00D56EB7">
              <w:rPr>
                <w:rFonts w:ascii="Times New Roman" w:eastAsia="Times New Roman" w:hAnsi="Times New Roman" w:cs="Times New Roman"/>
                <w:sz w:val="24"/>
                <w:szCs w:val="24"/>
                <w:lang w:eastAsia="uk-UA"/>
              </w:rPr>
              <w:br/>
              <w:t>Додатково інформація про систему гарантування вкладів зазначається у виписці з рахунка.</w:t>
            </w:r>
            <w:r w:rsidRPr="00D56EB7">
              <w:rPr>
                <w:rFonts w:ascii="Times New Roman" w:eastAsia="Times New Roman" w:hAnsi="Times New Roman" w:cs="Times New Roman"/>
                <w:sz w:val="24"/>
                <w:szCs w:val="24"/>
                <w:lang w:eastAsia="uk-UA"/>
              </w:rPr>
              <w:br/>
              <w:t xml:space="preserve">Фонд припиняє виплату гарантованих сум відшкодування коштів за вкладами у день затвердження ліквідаційного балансу банку та не пізніше наступного робочого дня розміщує на офіційному </w:t>
            </w:r>
            <w:proofErr w:type="spellStart"/>
            <w:r w:rsidRPr="00D56EB7">
              <w:rPr>
                <w:rFonts w:ascii="Times New Roman" w:eastAsia="Times New Roman" w:hAnsi="Times New Roman" w:cs="Times New Roman"/>
                <w:sz w:val="24"/>
                <w:szCs w:val="24"/>
                <w:lang w:eastAsia="uk-UA"/>
              </w:rPr>
              <w:t>вебсайті</w:t>
            </w:r>
            <w:proofErr w:type="spellEnd"/>
            <w:r w:rsidRPr="00D56EB7">
              <w:rPr>
                <w:rFonts w:ascii="Times New Roman" w:eastAsia="Times New Roman" w:hAnsi="Times New Roman" w:cs="Times New Roman"/>
                <w:sz w:val="24"/>
                <w:szCs w:val="24"/>
                <w:lang w:eastAsia="uk-UA"/>
              </w:rPr>
              <w:t xml:space="preserve"> Фонду оголошення про припинення Фондом виплат гарантованої суми відшкодування.</w:t>
            </w:r>
            <w:r w:rsidRPr="00D56EB7">
              <w:rPr>
                <w:rFonts w:ascii="Times New Roman" w:eastAsia="Times New Roman" w:hAnsi="Times New Roman" w:cs="Times New Roman"/>
                <w:sz w:val="24"/>
                <w:szCs w:val="24"/>
                <w:lang w:eastAsia="uk-UA"/>
              </w:rPr>
              <w:br/>
              <w:t>Нарахування відсотків за вкладами припиняється у день початку процедури виведення Фондом банку з ринку або у день прийняття рішення про відкликання банківської ліцензії та ліквідацію банку - у разі прийняття Національним банком України рішення про відкликання банківської ліцензії та ліквідацію банку з підстав, визначених </w:t>
            </w:r>
            <w:hyperlink r:id="rId22" w:anchor="n1334" w:tgtFrame="_blank" w:history="1">
              <w:r w:rsidRPr="00D56EB7">
                <w:rPr>
                  <w:rFonts w:ascii="Times New Roman" w:eastAsia="Times New Roman" w:hAnsi="Times New Roman" w:cs="Times New Roman"/>
                  <w:color w:val="000099"/>
                  <w:sz w:val="24"/>
                  <w:szCs w:val="24"/>
                  <w:u w:val="single"/>
                  <w:lang w:eastAsia="uk-UA"/>
                </w:rPr>
                <w:t>частиною другою</w:t>
              </w:r>
            </w:hyperlink>
            <w:r w:rsidRPr="00D56EB7">
              <w:rPr>
                <w:rFonts w:ascii="Times New Roman" w:eastAsia="Times New Roman" w:hAnsi="Times New Roman" w:cs="Times New Roman"/>
                <w:sz w:val="24"/>
                <w:szCs w:val="24"/>
                <w:lang w:eastAsia="uk-UA"/>
              </w:rPr>
              <w:t> статті 77 Закону України «Про банки і банківську діяльність».</w:t>
            </w:r>
          </w:p>
        </w:tc>
      </w:tr>
    </w:tbl>
    <w:p w14:paraId="1D2A73FF" w14:textId="0B70A690" w:rsidR="00C471AB" w:rsidRPr="00C471AB" w:rsidRDefault="00C471AB" w:rsidP="009C6E4F">
      <w:pPr>
        <w:shd w:val="clear" w:color="auto" w:fill="FFFFFF"/>
        <w:ind w:right="-1"/>
        <w:jc w:val="both"/>
        <w:rPr>
          <w:rFonts w:ascii="Times New Roman" w:eastAsia="Times New Roman" w:hAnsi="Times New Roman" w:cs="Times New Roman"/>
          <w:lang w:eastAsia="ru-RU"/>
        </w:rPr>
      </w:pPr>
      <w:r w:rsidRPr="00C471AB">
        <w:rPr>
          <w:rFonts w:ascii="Times New Roman" w:hAnsi="Times New Roman" w:cs="Times New Roman"/>
        </w:rPr>
        <w:t>(Додаток до Інструкції про порядок здійснення Фондом гарантування вкладів фізичних осіб захисту прав та охоронюваних законом інтересів вкладників в редакції Рішення Виконавчої Дирекції Фонду гарантування вкладів фізичних осіб № 779 від 28.06.2023)</w:t>
      </w:r>
    </w:p>
    <w:p w14:paraId="00B0CD24" w14:textId="77777777" w:rsidR="00C471AB" w:rsidRPr="00C471AB" w:rsidRDefault="00C471AB" w:rsidP="00C471AB">
      <w:pPr>
        <w:shd w:val="clear" w:color="auto" w:fill="FFFFFF"/>
        <w:ind w:left="450" w:right="450"/>
        <w:jc w:val="center"/>
        <w:rPr>
          <w:rFonts w:ascii="Times New Roman" w:hAnsi="Times New Roman" w:cs="Times New Roman"/>
          <w:snapToGrid w:val="0"/>
        </w:rPr>
      </w:pPr>
    </w:p>
    <w:p w14:paraId="6C71B82C" w14:textId="77777777" w:rsidR="00C471AB" w:rsidRPr="00C471AB" w:rsidRDefault="00C471AB" w:rsidP="0011413A">
      <w:pPr>
        <w:pStyle w:val="a3"/>
        <w:ind w:left="5664"/>
        <w:rPr>
          <w:rFonts w:ascii="Times New Roman" w:hAnsi="Times New Roman" w:cs="Times New Roman"/>
        </w:rPr>
      </w:pPr>
    </w:p>
    <w:sectPr w:rsidR="00C471AB" w:rsidRPr="00C471AB" w:rsidSect="00B3266B">
      <w:pgSz w:w="11906" w:h="16838"/>
      <w:pgMar w:top="142"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376"/>
    <w:multiLevelType w:val="multilevel"/>
    <w:tmpl w:val="79FC4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760C6C"/>
    <w:multiLevelType w:val="hybridMultilevel"/>
    <w:tmpl w:val="F776169C"/>
    <w:lvl w:ilvl="0" w:tplc="A86233E2">
      <w:start w:val="1"/>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0EC29DF"/>
    <w:multiLevelType w:val="hybridMultilevel"/>
    <w:tmpl w:val="E2707BB0"/>
    <w:lvl w:ilvl="0" w:tplc="41129F36">
      <w:start w:val="1"/>
      <w:numFmt w:val="decimal"/>
      <w:lvlText w:val="%1."/>
      <w:lvlJc w:val="left"/>
      <w:pPr>
        <w:ind w:left="720" w:hanging="360"/>
      </w:pPr>
      <w:rPr>
        <w:rFonts w:eastAsiaTheme="minorHAnsi" w:hint="default"/>
        <w:b w:val="0"/>
        <w:strike w:val="0"/>
        <w:dstrike w:val="0"/>
        <w:sz w:val="22"/>
        <w:u w:val="none"/>
        <w:effect w:val="none"/>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72A26F4B"/>
    <w:multiLevelType w:val="multilevel"/>
    <w:tmpl w:val="BA46A29C"/>
    <w:lvl w:ilvl="0">
      <w:start w:val="1"/>
      <w:numFmt w:val="decimal"/>
      <w:lvlText w:val="%1."/>
      <w:lvlJc w:val="left"/>
      <w:pPr>
        <w:ind w:left="1211"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 w15:restartNumberingAfterBreak="0">
    <w:nsid w:val="767A7473"/>
    <w:multiLevelType w:val="hybridMultilevel"/>
    <w:tmpl w:val="CE4CF6B8"/>
    <w:lvl w:ilvl="0" w:tplc="2BB04A7C">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726224402">
    <w:abstractNumId w:val="3"/>
  </w:num>
  <w:num w:numId="2" w16cid:durableId="7103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6849810">
    <w:abstractNumId w:val="2"/>
  </w:num>
  <w:num w:numId="4" w16cid:durableId="558398197">
    <w:abstractNumId w:val="4"/>
  </w:num>
  <w:num w:numId="5" w16cid:durableId="1227641187">
    <w:abstractNumId w:val="0"/>
  </w:num>
  <w:num w:numId="6" w16cid:durableId="8411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9FB"/>
    <w:rsid w:val="00007CDF"/>
    <w:rsid w:val="00010DBA"/>
    <w:rsid w:val="000122D2"/>
    <w:rsid w:val="00021902"/>
    <w:rsid w:val="0003246F"/>
    <w:rsid w:val="000659F4"/>
    <w:rsid w:val="00080A01"/>
    <w:rsid w:val="00082DD3"/>
    <w:rsid w:val="00083BF8"/>
    <w:rsid w:val="00096002"/>
    <w:rsid w:val="000A63A6"/>
    <w:rsid w:val="000C1B03"/>
    <w:rsid w:val="000C2ADF"/>
    <w:rsid w:val="000D42EA"/>
    <w:rsid w:val="000E08E8"/>
    <w:rsid w:val="00100962"/>
    <w:rsid w:val="001062B2"/>
    <w:rsid w:val="0011413A"/>
    <w:rsid w:val="00116225"/>
    <w:rsid w:val="00146D42"/>
    <w:rsid w:val="001750C9"/>
    <w:rsid w:val="00190D5A"/>
    <w:rsid w:val="00194403"/>
    <w:rsid w:val="001A6A65"/>
    <w:rsid w:val="001B004C"/>
    <w:rsid w:val="001B1F62"/>
    <w:rsid w:val="001C4E76"/>
    <w:rsid w:val="001E58E4"/>
    <w:rsid w:val="001E5EA9"/>
    <w:rsid w:val="001F2D56"/>
    <w:rsid w:val="00254993"/>
    <w:rsid w:val="00257FF2"/>
    <w:rsid w:val="00267C42"/>
    <w:rsid w:val="00287A8A"/>
    <w:rsid w:val="00290050"/>
    <w:rsid w:val="002A2D4A"/>
    <w:rsid w:val="002A629F"/>
    <w:rsid w:val="002B660F"/>
    <w:rsid w:val="002C59C7"/>
    <w:rsid w:val="002D513E"/>
    <w:rsid w:val="002E7BD2"/>
    <w:rsid w:val="002F2677"/>
    <w:rsid w:val="00300497"/>
    <w:rsid w:val="00302634"/>
    <w:rsid w:val="00303913"/>
    <w:rsid w:val="003056FA"/>
    <w:rsid w:val="00314BDE"/>
    <w:rsid w:val="003208AF"/>
    <w:rsid w:val="00324A4C"/>
    <w:rsid w:val="00324E86"/>
    <w:rsid w:val="00326CDC"/>
    <w:rsid w:val="00331F41"/>
    <w:rsid w:val="00332038"/>
    <w:rsid w:val="0034496F"/>
    <w:rsid w:val="0036700F"/>
    <w:rsid w:val="0037280D"/>
    <w:rsid w:val="003740FF"/>
    <w:rsid w:val="0038693C"/>
    <w:rsid w:val="00397A32"/>
    <w:rsid w:val="003C5035"/>
    <w:rsid w:val="003D7F32"/>
    <w:rsid w:val="003E682F"/>
    <w:rsid w:val="003E6957"/>
    <w:rsid w:val="003F1303"/>
    <w:rsid w:val="004035FD"/>
    <w:rsid w:val="00403EDF"/>
    <w:rsid w:val="00404F2C"/>
    <w:rsid w:val="00415481"/>
    <w:rsid w:val="0043673B"/>
    <w:rsid w:val="004437B2"/>
    <w:rsid w:val="00452B4A"/>
    <w:rsid w:val="004564AC"/>
    <w:rsid w:val="004776AE"/>
    <w:rsid w:val="004831A1"/>
    <w:rsid w:val="004848F3"/>
    <w:rsid w:val="00485373"/>
    <w:rsid w:val="004918DE"/>
    <w:rsid w:val="004A7725"/>
    <w:rsid w:val="004E75F7"/>
    <w:rsid w:val="005127F8"/>
    <w:rsid w:val="00513052"/>
    <w:rsid w:val="005479FB"/>
    <w:rsid w:val="00547ED1"/>
    <w:rsid w:val="00561A4D"/>
    <w:rsid w:val="005639F9"/>
    <w:rsid w:val="00580057"/>
    <w:rsid w:val="005A43A5"/>
    <w:rsid w:val="005A5AE7"/>
    <w:rsid w:val="005B7451"/>
    <w:rsid w:val="005C70AA"/>
    <w:rsid w:val="005D6A41"/>
    <w:rsid w:val="005E6DB9"/>
    <w:rsid w:val="005F0214"/>
    <w:rsid w:val="00602B7F"/>
    <w:rsid w:val="00607F8F"/>
    <w:rsid w:val="00614C9C"/>
    <w:rsid w:val="006351DD"/>
    <w:rsid w:val="0064615F"/>
    <w:rsid w:val="00647BDA"/>
    <w:rsid w:val="0065139B"/>
    <w:rsid w:val="00660838"/>
    <w:rsid w:val="0066441A"/>
    <w:rsid w:val="006737B3"/>
    <w:rsid w:val="006743AA"/>
    <w:rsid w:val="00675D6D"/>
    <w:rsid w:val="00683DF5"/>
    <w:rsid w:val="0069200B"/>
    <w:rsid w:val="006953CE"/>
    <w:rsid w:val="006A329D"/>
    <w:rsid w:val="006A4B2E"/>
    <w:rsid w:val="006D13CF"/>
    <w:rsid w:val="006D18B4"/>
    <w:rsid w:val="006E3EEF"/>
    <w:rsid w:val="006E7302"/>
    <w:rsid w:val="006F1ED7"/>
    <w:rsid w:val="00703501"/>
    <w:rsid w:val="0071272D"/>
    <w:rsid w:val="00743D6E"/>
    <w:rsid w:val="00744F63"/>
    <w:rsid w:val="00752979"/>
    <w:rsid w:val="007577E5"/>
    <w:rsid w:val="0077413B"/>
    <w:rsid w:val="00774358"/>
    <w:rsid w:val="007871E6"/>
    <w:rsid w:val="00794331"/>
    <w:rsid w:val="007A51C2"/>
    <w:rsid w:val="007D664F"/>
    <w:rsid w:val="007E291D"/>
    <w:rsid w:val="007F2F8C"/>
    <w:rsid w:val="008018A6"/>
    <w:rsid w:val="008048CA"/>
    <w:rsid w:val="008120A4"/>
    <w:rsid w:val="00814FED"/>
    <w:rsid w:val="0081651E"/>
    <w:rsid w:val="00823391"/>
    <w:rsid w:val="008409A8"/>
    <w:rsid w:val="00847EDC"/>
    <w:rsid w:val="00894C00"/>
    <w:rsid w:val="008A3191"/>
    <w:rsid w:val="008B15DD"/>
    <w:rsid w:val="008B45A5"/>
    <w:rsid w:val="008B77AB"/>
    <w:rsid w:val="008D0D85"/>
    <w:rsid w:val="008D167B"/>
    <w:rsid w:val="00967649"/>
    <w:rsid w:val="00976AC8"/>
    <w:rsid w:val="009770E9"/>
    <w:rsid w:val="00987274"/>
    <w:rsid w:val="00992A92"/>
    <w:rsid w:val="009930DA"/>
    <w:rsid w:val="00996A49"/>
    <w:rsid w:val="009C6E4F"/>
    <w:rsid w:val="009E312A"/>
    <w:rsid w:val="009E317F"/>
    <w:rsid w:val="00A011A6"/>
    <w:rsid w:val="00A3352D"/>
    <w:rsid w:val="00A343C6"/>
    <w:rsid w:val="00A407B0"/>
    <w:rsid w:val="00A41C53"/>
    <w:rsid w:val="00A43615"/>
    <w:rsid w:val="00A603C9"/>
    <w:rsid w:val="00A61E46"/>
    <w:rsid w:val="00A6736E"/>
    <w:rsid w:val="00A861D2"/>
    <w:rsid w:val="00A871CD"/>
    <w:rsid w:val="00AA5F23"/>
    <w:rsid w:val="00AA6394"/>
    <w:rsid w:val="00AA7A58"/>
    <w:rsid w:val="00AB4CEF"/>
    <w:rsid w:val="00AC5A01"/>
    <w:rsid w:val="00AE73BB"/>
    <w:rsid w:val="00AF01E5"/>
    <w:rsid w:val="00B275A7"/>
    <w:rsid w:val="00B3266B"/>
    <w:rsid w:val="00B701D4"/>
    <w:rsid w:val="00B812DC"/>
    <w:rsid w:val="00B81A0E"/>
    <w:rsid w:val="00B9300C"/>
    <w:rsid w:val="00BA26AF"/>
    <w:rsid w:val="00BA46D2"/>
    <w:rsid w:val="00BE1243"/>
    <w:rsid w:val="00BE415B"/>
    <w:rsid w:val="00BE5C51"/>
    <w:rsid w:val="00C050CF"/>
    <w:rsid w:val="00C20243"/>
    <w:rsid w:val="00C24DE3"/>
    <w:rsid w:val="00C47027"/>
    <w:rsid w:val="00C471AB"/>
    <w:rsid w:val="00C55D04"/>
    <w:rsid w:val="00CB5168"/>
    <w:rsid w:val="00CB7536"/>
    <w:rsid w:val="00CB7947"/>
    <w:rsid w:val="00CC66CE"/>
    <w:rsid w:val="00CC6EDD"/>
    <w:rsid w:val="00CF6AA1"/>
    <w:rsid w:val="00D00693"/>
    <w:rsid w:val="00D31A13"/>
    <w:rsid w:val="00D77E2D"/>
    <w:rsid w:val="00DD6392"/>
    <w:rsid w:val="00DD783B"/>
    <w:rsid w:val="00DE2859"/>
    <w:rsid w:val="00DF0522"/>
    <w:rsid w:val="00E01CF1"/>
    <w:rsid w:val="00E05EF8"/>
    <w:rsid w:val="00E06646"/>
    <w:rsid w:val="00E1327F"/>
    <w:rsid w:val="00E14323"/>
    <w:rsid w:val="00E26D82"/>
    <w:rsid w:val="00E35C5D"/>
    <w:rsid w:val="00E434D3"/>
    <w:rsid w:val="00E644D0"/>
    <w:rsid w:val="00E64E27"/>
    <w:rsid w:val="00EA0663"/>
    <w:rsid w:val="00EA43F9"/>
    <w:rsid w:val="00EB4C12"/>
    <w:rsid w:val="00EE06A9"/>
    <w:rsid w:val="00EE7994"/>
    <w:rsid w:val="00F05F39"/>
    <w:rsid w:val="00F121CD"/>
    <w:rsid w:val="00F133C4"/>
    <w:rsid w:val="00F47650"/>
    <w:rsid w:val="00F605C6"/>
    <w:rsid w:val="00F7649E"/>
    <w:rsid w:val="00F82425"/>
    <w:rsid w:val="00F846A6"/>
    <w:rsid w:val="00F91499"/>
    <w:rsid w:val="00FC49E1"/>
    <w:rsid w:val="00FD73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D1BD"/>
  <w15:docId w15:val="{E5578851-FE6E-4DEB-BDDC-A30E8E78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79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79FB"/>
    <w:pPr>
      <w:spacing w:after="0" w:line="240" w:lineRule="auto"/>
    </w:pPr>
  </w:style>
  <w:style w:type="character" w:styleId="a4">
    <w:name w:val="Hyperlink"/>
    <w:basedOn w:val="a0"/>
    <w:uiPriority w:val="99"/>
    <w:unhideWhenUsed/>
    <w:rsid w:val="00F133C4"/>
    <w:rPr>
      <w:color w:val="0000FF"/>
      <w:u w:val="single"/>
    </w:rPr>
  </w:style>
  <w:style w:type="character" w:customStyle="1" w:styleId="1">
    <w:name w:val="Незакрита згадка1"/>
    <w:basedOn w:val="a0"/>
    <w:uiPriority w:val="99"/>
    <w:semiHidden/>
    <w:unhideWhenUsed/>
    <w:rsid w:val="0081651E"/>
    <w:rPr>
      <w:color w:val="605E5C"/>
      <w:shd w:val="clear" w:color="auto" w:fill="E1DFDD"/>
    </w:rPr>
  </w:style>
  <w:style w:type="paragraph" w:styleId="a5">
    <w:name w:val="List Paragraph"/>
    <w:basedOn w:val="a"/>
    <w:link w:val="a6"/>
    <w:uiPriority w:val="34"/>
    <w:qFormat/>
    <w:rsid w:val="00EA0663"/>
    <w:pPr>
      <w:spacing w:after="0" w:line="240" w:lineRule="auto"/>
      <w:ind w:left="708"/>
    </w:pPr>
    <w:rPr>
      <w:rFonts w:ascii="Times New Roman" w:eastAsia="Times New Roman" w:hAnsi="Times New Roman" w:cs="Times New Roman"/>
      <w:sz w:val="20"/>
      <w:szCs w:val="20"/>
      <w:lang w:val="ru-RU" w:eastAsia="ru-RU"/>
    </w:rPr>
  </w:style>
  <w:style w:type="character" w:customStyle="1" w:styleId="a6">
    <w:name w:val="Абзац списку Знак"/>
    <w:link w:val="a5"/>
    <w:uiPriority w:val="34"/>
    <w:locked/>
    <w:rsid w:val="00EA0663"/>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4356">
      <w:bodyDiv w:val="1"/>
      <w:marLeft w:val="0"/>
      <w:marRight w:val="0"/>
      <w:marTop w:val="0"/>
      <w:marBottom w:val="0"/>
      <w:divBdr>
        <w:top w:val="none" w:sz="0" w:space="0" w:color="auto"/>
        <w:left w:val="none" w:sz="0" w:space="0" w:color="auto"/>
        <w:bottom w:val="none" w:sz="0" w:space="0" w:color="auto"/>
        <w:right w:val="none" w:sz="0" w:space="0" w:color="auto"/>
      </w:divBdr>
    </w:div>
    <w:div w:id="1177424443">
      <w:bodyDiv w:val="1"/>
      <w:marLeft w:val="0"/>
      <w:marRight w:val="0"/>
      <w:marTop w:val="0"/>
      <w:marBottom w:val="0"/>
      <w:divBdr>
        <w:top w:val="none" w:sz="0" w:space="0" w:color="auto"/>
        <w:left w:val="none" w:sz="0" w:space="0" w:color="auto"/>
        <w:bottom w:val="none" w:sz="0" w:space="0" w:color="auto"/>
        <w:right w:val="none" w:sz="0" w:space="0" w:color="auto"/>
      </w:divBdr>
    </w:div>
    <w:div w:id="1400832099">
      <w:bodyDiv w:val="1"/>
      <w:marLeft w:val="0"/>
      <w:marRight w:val="0"/>
      <w:marTop w:val="0"/>
      <w:marBottom w:val="0"/>
      <w:divBdr>
        <w:top w:val="none" w:sz="0" w:space="0" w:color="auto"/>
        <w:left w:val="none" w:sz="0" w:space="0" w:color="auto"/>
        <w:bottom w:val="none" w:sz="0" w:space="0" w:color="auto"/>
        <w:right w:val="none" w:sz="0" w:space="0" w:color="auto"/>
      </w:divBdr>
    </w:div>
    <w:div w:id="1456099471">
      <w:bodyDiv w:val="1"/>
      <w:marLeft w:val="0"/>
      <w:marRight w:val="0"/>
      <w:marTop w:val="0"/>
      <w:marBottom w:val="0"/>
      <w:divBdr>
        <w:top w:val="none" w:sz="0" w:space="0" w:color="auto"/>
        <w:left w:val="none" w:sz="0" w:space="0" w:color="auto"/>
        <w:bottom w:val="none" w:sz="0" w:space="0" w:color="auto"/>
        <w:right w:val="none" w:sz="0" w:space="0" w:color="auto"/>
      </w:divBdr>
    </w:div>
    <w:div w:id="155754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02-20" TargetMode="External"/><Relationship Id="rId13" Type="http://schemas.openxmlformats.org/officeDocument/2006/relationships/hyperlink" Target="https://zakon.rada.gov.ua/laws/show/2121-14" TargetMode="External"/><Relationship Id="rId18" Type="http://schemas.openxmlformats.org/officeDocument/2006/relationships/hyperlink" Target="https://zakon.rada.gov.ua/laws/show/2121-14" TargetMode="External"/><Relationship Id="rId3" Type="http://schemas.openxmlformats.org/officeDocument/2006/relationships/settings" Target="settings.xml"/><Relationship Id="rId21" Type="http://schemas.openxmlformats.org/officeDocument/2006/relationships/hyperlink" Target="https://zakon.rada.gov.ua/laws/show/4452-17" TargetMode="External"/><Relationship Id="rId7" Type="http://schemas.openxmlformats.org/officeDocument/2006/relationships/hyperlink" Target="https://zakon.rada.gov.ua/laws/show/64/2022" TargetMode="External"/><Relationship Id="rId12" Type="http://schemas.openxmlformats.org/officeDocument/2006/relationships/hyperlink" Target="https://zakon.rada.gov.ua/laws/show/2121-14" TargetMode="External"/><Relationship Id="rId17" Type="http://schemas.openxmlformats.org/officeDocument/2006/relationships/hyperlink" Target="https://zakon.rada.gov.ua/laws/show/4452-17" TargetMode="External"/><Relationship Id="rId2" Type="http://schemas.openxmlformats.org/officeDocument/2006/relationships/styles" Target="styles.xml"/><Relationship Id="rId16" Type="http://schemas.openxmlformats.org/officeDocument/2006/relationships/hyperlink" Target="https://zakon.rada.gov.ua/laws/show/1644-18" TargetMode="External"/><Relationship Id="rId20" Type="http://schemas.openxmlformats.org/officeDocument/2006/relationships/hyperlink" Target="https://zakon.rada.gov.ua/laws/show/2121-14" TargetMode="External"/><Relationship Id="rId1" Type="http://schemas.openxmlformats.org/officeDocument/2006/relationships/numbering" Target="numbering.xml"/><Relationship Id="rId6" Type="http://schemas.openxmlformats.org/officeDocument/2006/relationships/hyperlink" Target="https://zakon.rada.gov.ua/laws/show/2121-14" TargetMode="External"/><Relationship Id="rId11" Type="http://schemas.openxmlformats.org/officeDocument/2006/relationships/hyperlink" Target="https://zakon.rada.gov.ua/laws/show/2121-14"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zakon.rada.gov.ua/laws/show/1932-12" TargetMode="External"/><Relationship Id="rId23" Type="http://schemas.openxmlformats.org/officeDocument/2006/relationships/fontTable" Target="fontTable.xml"/><Relationship Id="rId10" Type="http://schemas.openxmlformats.org/officeDocument/2006/relationships/hyperlink" Target="https://zakon.rada.gov.ua/laws/show/4452-17" TargetMode="External"/><Relationship Id="rId19" Type="http://schemas.openxmlformats.org/officeDocument/2006/relationships/hyperlink" Target="https://zakon.rada.gov.ua/laws/show/4452-17" TargetMode="External"/><Relationship Id="rId4" Type="http://schemas.openxmlformats.org/officeDocument/2006/relationships/webSettings" Target="webSettings.xml"/><Relationship Id="rId9" Type="http://schemas.openxmlformats.org/officeDocument/2006/relationships/hyperlink" Target="https://zakon.rada.gov.ua/laws/show/4452-17" TargetMode="External"/><Relationship Id="rId14" Type="http://schemas.openxmlformats.org/officeDocument/2006/relationships/hyperlink" Target="https://zakon.rada.gov.ua/laws/show/361-20" TargetMode="External"/><Relationship Id="rId22" Type="http://schemas.openxmlformats.org/officeDocument/2006/relationships/hyperlink" Target="https://zakon.rada.gov.ua/laws/show/2121-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6319</Words>
  <Characters>3603</Characters>
  <Application>Microsoft Office Word</Application>
  <DocSecurity>0</DocSecurity>
  <Lines>30</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Кожевнікова Наталія Володимирівна</dc:creator>
  <cp:lastModifiedBy>Скрипникова Марина Анатоліївна</cp:lastModifiedBy>
  <cp:revision>8</cp:revision>
  <cp:lastPrinted>2021-01-21T09:36:00Z</cp:lastPrinted>
  <dcterms:created xsi:type="dcterms:W3CDTF">2023-09-20T08:40:00Z</dcterms:created>
  <dcterms:modified xsi:type="dcterms:W3CDTF">2023-10-26T07:17:00Z</dcterms:modified>
</cp:coreProperties>
</file>