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6CDF" w14:textId="12AB448E" w:rsidR="000F063C" w:rsidRDefault="000F063C" w:rsidP="000F063C">
      <w:pPr>
        <w:ind w:left="4956" w:firstLine="6"/>
        <w:jc w:val="both"/>
        <w:rPr>
          <w:b/>
          <w:bCs/>
          <w:sz w:val="22"/>
          <w:szCs w:val="22"/>
        </w:rPr>
      </w:pPr>
      <w:r w:rsidRPr="000758E7">
        <w:rPr>
          <w:b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A85A32C" wp14:editId="10B5FA22">
            <wp:simplePos x="0" y="0"/>
            <wp:positionH relativeFrom="column">
              <wp:posOffset>-419100</wp:posOffset>
            </wp:positionH>
            <wp:positionV relativeFrom="paragraph">
              <wp:posOffset>163830</wp:posOffset>
            </wp:positionV>
            <wp:extent cx="1257300" cy="633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  <w:szCs w:val="22"/>
        </w:rPr>
        <w:t xml:space="preserve">Додаток № </w:t>
      </w:r>
      <w:r>
        <w:rPr>
          <w:b/>
          <w:bCs/>
          <w:sz w:val="22"/>
          <w:szCs w:val="22"/>
          <w:lang w:val="ru-RU"/>
        </w:rPr>
        <w:t>7</w:t>
      </w:r>
    </w:p>
    <w:p w14:paraId="3BEE5BD6" w14:textId="6DA156AA" w:rsidR="000F063C" w:rsidRDefault="000F063C" w:rsidP="000F063C">
      <w:pPr>
        <w:ind w:left="4956"/>
        <w:jc w:val="both"/>
        <w:rPr>
          <w:b/>
          <w:bCs/>
          <w:u w:val="single"/>
        </w:rPr>
      </w:pPr>
      <w:r>
        <w:rPr>
          <w:b/>
          <w:bCs/>
          <w:u w:val="single"/>
        </w:rPr>
        <w:t>(нова редакція діє з «</w:t>
      </w:r>
      <w:r w:rsidR="00687BD0">
        <w:rPr>
          <w:b/>
          <w:bCs/>
          <w:u w:val="single"/>
        </w:rPr>
        <w:t>0</w:t>
      </w:r>
      <w:r w:rsidR="001F7E66">
        <w:rPr>
          <w:b/>
          <w:bCs/>
          <w:u w:val="single"/>
          <w:lang w:val="ru-RU"/>
        </w:rPr>
        <w:t>8</w:t>
      </w:r>
      <w:r>
        <w:rPr>
          <w:b/>
          <w:bCs/>
          <w:u w:val="single"/>
        </w:rPr>
        <w:t xml:space="preserve">» </w:t>
      </w:r>
      <w:r w:rsidR="00687BD0">
        <w:rPr>
          <w:b/>
          <w:bCs/>
          <w:u w:val="single"/>
        </w:rPr>
        <w:t xml:space="preserve">травня </w:t>
      </w:r>
      <w:r>
        <w:rPr>
          <w:b/>
          <w:bCs/>
          <w:u w:val="single"/>
        </w:rPr>
        <w:t>202</w:t>
      </w:r>
      <w:r w:rsidR="00687BD0">
        <w:rPr>
          <w:b/>
          <w:bCs/>
          <w:u w:val="single"/>
        </w:rPr>
        <w:t>5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року</w:t>
      </w:r>
    </w:p>
    <w:p w14:paraId="4245FCC1" w14:textId="1B3961DE" w:rsidR="000F063C" w:rsidRDefault="000F063C" w:rsidP="000F063C">
      <w:pPr>
        <w:ind w:left="4956"/>
        <w:jc w:val="both"/>
        <w:rPr>
          <w:b/>
          <w:bCs/>
        </w:rPr>
      </w:pPr>
      <w:r>
        <w:rPr>
          <w:b/>
          <w:bCs/>
        </w:rPr>
        <w:t xml:space="preserve">згідно з рішенням Правління АТ «СКАЙ БАНК» протокол № </w:t>
      </w:r>
      <w:r w:rsidR="000667E7">
        <w:rPr>
          <w:b/>
          <w:bCs/>
        </w:rPr>
        <w:t>36/2</w:t>
      </w:r>
      <w:r>
        <w:rPr>
          <w:b/>
          <w:bCs/>
        </w:rPr>
        <w:t xml:space="preserve"> від </w:t>
      </w:r>
      <w:r w:rsidR="000667E7">
        <w:rPr>
          <w:b/>
          <w:bCs/>
        </w:rPr>
        <w:t>07.04.</w:t>
      </w:r>
      <w:r w:rsidR="00687BD0">
        <w:rPr>
          <w:b/>
          <w:bCs/>
        </w:rPr>
        <w:t>2025</w:t>
      </w:r>
      <w:r>
        <w:rPr>
          <w:b/>
          <w:bCs/>
        </w:rPr>
        <w:t xml:space="preserve"> року), з урахуванням змін, внесених рішенням Правління АТ «СКАЙ БАНК» протокол № 82/2 від 09.10.2023 року) до Публічного договору про комплексне банківське обслуговування</w:t>
      </w:r>
      <w:r w:rsidR="000A0062">
        <w:rPr>
          <w:b/>
          <w:bCs/>
        </w:rPr>
        <w:t xml:space="preserve"> юридичних осіб </w:t>
      </w:r>
      <w:r w:rsidR="003867C5">
        <w:rPr>
          <w:b/>
          <w:bCs/>
        </w:rPr>
        <w:t xml:space="preserve">та інших клієнтів </w:t>
      </w:r>
      <w:r>
        <w:rPr>
          <w:b/>
          <w:bCs/>
        </w:rPr>
        <w:t>АТ «СКАЙ БАНК»</w:t>
      </w:r>
    </w:p>
    <w:p w14:paraId="08979E63" w14:textId="77777777" w:rsidR="00B56C91" w:rsidRPr="000758E7" w:rsidRDefault="00B56C91" w:rsidP="000F063C">
      <w:pPr>
        <w:tabs>
          <w:tab w:val="left" w:pos="7513"/>
        </w:tabs>
        <w:outlineLvl w:val="0"/>
        <w:rPr>
          <w:sz w:val="24"/>
          <w:szCs w:val="24"/>
        </w:rPr>
      </w:pPr>
    </w:p>
    <w:p w14:paraId="3BA3F92F" w14:textId="77777777" w:rsidR="00BF77FB" w:rsidRPr="000758E7" w:rsidRDefault="00BF77FB" w:rsidP="00BF77FB">
      <w:pPr>
        <w:tabs>
          <w:tab w:val="left" w:pos="7513"/>
        </w:tabs>
        <w:jc w:val="center"/>
        <w:outlineLvl w:val="0"/>
        <w:rPr>
          <w:b/>
          <w:sz w:val="24"/>
          <w:szCs w:val="24"/>
        </w:rPr>
      </w:pPr>
      <w:r w:rsidRPr="000758E7">
        <w:rPr>
          <w:b/>
          <w:sz w:val="24"/>
          <w:szCs w:val="24"/>
        </w:rPr>
        <w:t>Тарифи на послуги</w:t>
      </w:r>
    </w:p>
    <w:p w14:paraId="1C9B42EA" w14:textId="77777777" w:rsidR="00BF77FB" w:rsidRPr="000758E7" w:rsidRDefault="00BF77FB" w:rsidP="00BF77FB">
      <w:pPr>
        <w:tabs>
          <w:tab w:val="left" w:pos="7513"/>
        </w:tabs>
        <w:jc w:val="center"/>
        <w:outlineLvl w:val="0"/>
        <w:rPr>
          <w:b/>
          <w:sz w:val="24"/>
          <w:szCs w:val="24"/>
        </w:rPr>
      </w:pPr>
      <w:r w:rsidRPr="000758E7">
        <w:rPr>
          <w:b/>
          <w:sz w:val="24"/>
          <w:szCs w:val="24"/>
        </w:rPr>
        <w:t>АТ «СКАЙ БАНК»</w:t>
      </w:r>
    </w:p>
    <w:p w14:paraId="0B62BF63" w14:textId="0F370A59" w:rsidR="00BF77FB" w:rsidRDefault="00BF77FB" w:rsidP="00BF77FB">
      <w:pPr>
        <w:tabs>
          <w:tab w:val="left" w:pos="7513"/>
        </w:tabs>
        <w:jc w:val="center"/>
        <w:outlineLvl w:val="0"/>
        <w:rPr>
          <w:b/>
          <w:sz w:val="24"/>
          <w:szCs w:val="24"/>
        </w:rPr>
      </w:pPr>
      <w:r w:rsidRPr="000758E7">
        <w:rPr>
          <w:b/>
          <w:sz w:val="24"/>
          <w:szCs w:val="24"/>
        </w:rPr>
        <w:t>з обслуговування корпоративних платіжних карток</w:t>
      </w:r>
    </w:p>
    <w:p w14:paraId="7D4A066A" w14:textId="77777777" w:rsidR="00281830" w:rsidRPr="00542EC8" w:rsidRDefault="00281830" w:rsidP="00281830">
      <w:pPr>
        <w:jc w:val="center"/>
        <w:rPr>
          <w:b/>
        </w:rPr>
      </w:pPr>
      <w:r w:rsidRPr="00542EC8">
        <w:rPr>
          <w:b/>
        </w:rPr>
        <w:t>Тарифний пакет «Преміальний» Visa Business Platinum (для суб’єктів господарювання)</w:t>
      </w:r>
    </w:p>
    <w:p w14:paraId="1BE519DB" w14:textId="77777777" w:rsidR="00281830" w:rsidRPr="00281830" w:rsidRDefault="00281830" w:rsidP="00281830">
      <w:pPr>
        <w:ind w:left="6663" w:right="-143" w:firstLine="142"/>
        <w:rPr>
          <w:bCs/>
        </w:rPr>
      </w:pPr>
    </w:p>
    <w:tbl>
      <w:tblPr>
        <w:tblW w:w="105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4420"/>
      </w:tblGrid>
      <w:tr w:rsidR="00281830" w:rsidRPr="00281830" w14:paraId="255B61C9" w14:textId="77777777" w:rsidTr="00281830">
        <w:trPr>
          <w:trHeight w:val="330"/>
        </w:trPr>
        <w:tc>
          <w:tcPr>
            <w:tcW w:w="6086" w:type="dxa"/>
            <w:shd w:val="clear" w:color="auto" w:fill="auto"/>
            <w:vAlign w:val="center"/>
            <w:hideMark/>
          </w:tcPr>
          <w:p w14:paraId="3F1D9816" w14:textId="77777777" w:rsidR="00281830" w:rsidRPr="00281830" w:rsidRDefault="00281830" w:rsidP="004D52F0">
            <w:pPr>
              <w:jc w:val="center"/>
              <w:rPr>
                <w:b/>
                <w:bCs/>
                <w:lang w:eastAsia="uk-UA"/>
              </w:rPr>
            </w:pPr>
            <w:r w:rsidRPr="00281830">
              <w:rPr>
                <w:b/>
                <w:bCs/>
              </w:rPr>
              <w:t>Перелік операцій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6D60604D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>Розмір тарифу </w:t>
            </w:r>
          </w:p>
        </w:tc>
      </w:tr>
      <w:tr w:rsidR="00281830" w:rsidRPr="00281830" w14:paraId="17E3C9AA" w14:textId="77777777" w:rsidTr="00281830">
        <w:trPr>
          <w:trHeight w:val="645"/>
        </w:trPr>
        <w:tc>
          <w:tcPr>
            <w:tcW w:w="6086" w:type="dxa"/>
            <w:shd w:val="clear" w:color="000000" w:fill="D9D9D9"/>
            <w:vAlign w:val="center"/>
            <w:hideMark/>
          </w:tcPr>
          <w:p w14:paraId="3DC32094" w14:textId="4464BA81" w:rsidR="00281830" w:rsidRPr="00281830" w:rsidRDefault="00281830" w:rsidP="004D52F0">
            <w:pPr>
              <w:rPr>
                <w:b/>
                <w:bCs/>
              </w:rPr>
            </w:pPr>
            <w:r w:rsidRPr="00281830">
              <w:rPr>
                <w:b/>
                <w:bCs/>
              </w:rPr>
              <w:t>ОПЕРАЦІЇ ПОВЯЗАНІ З ВІДКРИТТЯМ РАХУНКУ</w:t>
            </w:r>
            <w:r w:rsidR="004F1A1C">
              <w:rPr>
                <w:b/>
                <w:bCs/>
              </w:rPr>
              <w:t xml:space="preserve"> ТА ВИКОНАННЯМ ПЛАТІЖНИХ ОПЕРАЦІЙ</w:t>
            </w:r>
          </w:p>
        </w:tc>
        <w:tc>
          <w:tcPr>
            <w:tcW w:w="4420" w:type="dxa"/>
            <w:shd w:val="clear" w:color="000000" w:fill="D9D9D9"/>
            <w:vAlign w:val="center"/>
            <w:hideMark/>
          </w:tcPr>
          <w:p w14:paraId="01C5AF54" w14:textId="77777777" w:rsidR="00281830" w:rsidRPr="00281830" w:rsidRDefault="00281830" w:rsidP="004D52F0">
            <w:pPr>
              <w:jc w:val="center"/>
            </w:pPr>
            <w:r w:rsidRPr="00281830">
              <w:t> </w:t>
            </w:r>
          </w:p>
        </w:tc>
      </w:tr>
      <w:tr w:rsidR="00281830" w:rsidRPr="00281830" w14:paraId="102AA08C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18BC2F51" w14:textId="77777777" w:rsidR="00281830" w:rsidRPr="00281830" w:rsidRDefault="00281830" w:rsidP="004D52F0">
            <w:r w:rsidRPr="00281830">
              <w:t>Валюта рахунку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066FF585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>гривня</w:t>
            </w:r>
          </w:p>
        </w:tc>
      </w:tr>
      <w:tr w:rsidR="00281830" w:rsidRPr="00281830" w14:paraId="7AA9A65C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4E5DDB4C" w14:textId="2AF271B3" w:rsidR="00281830" w:rsidRPr="00281830" w:rsidRDefault="004F1A1C" w:rsidP="004D52F0">
            <w:r>
              <w:t xml:space="preserve">Видача </w:t>
            </w:r>
            <w:r w:rsidR="00281830" w:rsidRPr="00281830">
              <w:t>основної картки (</w:t>
            </w:r>
            <w:r>
              <w:t>заміна</w:t>
            </w:r>
            <w:r w:rsidRPr="00281830">
              <w:t xml:space="preserve"> </w:t>
            </w:r>
            <w:r>
              <w:t xml:space="preserve">після завершення її </w:t>
            </w:r>
            <w:r w:rsidR="00281830" w:rsidRPr="00281830">
              <w:t>терміну дії)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01B2D48B" w14:textId="77777777" w:rsidR="00281830" w:rsidRPr="00281830" w:rsidRDefault="00281830" w:rsidP="004D52F0">
            <w:pPr>
              <w:jc w:val="center"/>
            </w:pPr>
          </w:p>
          <w:p w14:paraId="44909B7B" w14:textId="77777777" w:rsidR="00281830" w:rsidRPr="00281830" w:rsidRDefault="00281830" w:rsidP="004D52F0">
            <w:pPr>
              <w:jc w:val="center"/>
            </w:pPr>
            <w:r w:rsidRPr="00281830">
              <w:t>Включено у вартість обслуговування</w:t>
            </w:r>
          </w:p>
        </w:tc>
      </w:tr>
      <w:tr w:rsidR="00281830" w:rsidRPr="00281830" w14:paraId="30C9C5AC" w14:textId="77777777" w:rsidTr="00281830">
        <w:trPr>
          <w:trHeight w:val="1665"/>
        </w:trPr>
        <w:tc>
          <w:tcPr>
            <w:tcW w:w="6086" w:type="dxa"/>
            <w:shd w:val="clear" w:color="auto" w:fill="auto"/>
            <w:vAlign w:val="center"/>
            <w:hideMark/>
          </w:tcPr>
          <w:p w14:paraId="595FFEBF" w14:textId="5C47009A" w:rsidR="00281830" w:rsidRPr="00281830" w:rsidRDefault="004F1A1C" w:rsidP="004D52F0">
            <w:r>
              <w:t>П</w:t>
            </w:r>
            <w:r w:rsidR="00281830" w:rsidRPr="00281830">
              <w:t>акетне обслуговування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1D9CD632" w14:textId="77777777" w:rsidR="004F1A1C" w:rsidRDefault="00281830" w:rsidP="004D52F0">
            <w:pPr>
              <w:jc w:val="center"/>
            </w:pPr>
            <w:r w:rsidRPr="00281830">
              <w:t>350 грн.</w:t>
            </w:r>
            <w:r w:rsidR="004F1A1C">
              <w:t xml:space="preserve"> щомісячно</w:t>
            </w:r>
            <w:r w:rsidRPr="00281830">
              <w:t xml:space="preserve"> </w:t>
            </w:r>
          </w:p>
          <w:p w14:paraId="52BCD1CF" w14:textId="7383AD50" w:rsidR="00281830" w:rsidRPr="00281830" w:rsidRDefault="00281830" w:rsidP="004D52F0">
            <w:pPr>
              <w:jc w:val="center"/>
            </w:pPr>
            <w:r w:rsidRPr="00281830">
              <w:t>(стягується тільки у разі якщо сума операцій в торгівельній мережі/</w:t>
            </w:r>
            <w:r w:rsidRPr="00281830">
              <w:rPr>
                <w:b/>
                <w:bCs/>
              </w:rPr>
              <w:t xml:space="preserve">інтернет послуги </w:t>
            </w:r>
            <w:r w:rsidRPr="00281830">
              <w:t xml:space="preserve"> не перевищує 30 000,00 гривень в розрахунковому періоді </w:t>
            </w:r>
            <w:r w:rsidRPr="00281830">
              <w:rPr>
                <w:lang w:val="ru-RU"/>
              </w:rPr>
              <w:t>)</w:t>
            </w:r>
            <w:r w:rsidRPr="00281830">
              <w:rPr>
                <w:b/>
                <w:bCs/>
              </w:rPr>
              <w:t xml:space="preserve"> </w:t>
            </w:r>
          </w:p>
        </w:tc>
      </w:tr>
      <w:tr w:rsidR="00281830" w:rsidRPr="00281830" w14:paraId="7D6D668F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47B1184C" w14:textId="5ED76213" w:rsidR="00281830" w:rsidRPr="00281830" w:rsidRDefault="004F1A1C" w:rsidP="004D52F0">
            <w:r>
              <w:t>Видача</w:t>
            </w:r>
            <w:r w:rsidR="00281830" w:rsidRPr="00281830">
              <w:t xml:space="preserve"> додаткової картки /</w:t>
            </w:r>
            <w:r>
              <w:t>заміна</w:t>
            </w:r>
            <w:r w:rsidRPr="00281830">
              <w:t xml:space="preserve"> </w:t>
            </w:r>
            <w:r w:rsidR="00281830" w:rsidRPr="00281830">
              <w:t xml:space="preserve">по </w:t>
            </w:r>
            <w:r>
              <w:t>завершенню</w:t>
            </w:r>
            <w:r w:rsidRPr="00281830">
              <w:t xml:space="preserve"> </w:t>
            </w:r>
            <w:r>
              <w:t xml:space="preserve">її </w:t>
            </w:r>
            <w:r w:rsidR="00281830" w:rsidRPr="00281830">
              <w:t xml:space="preserve">терміну дії 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6FFDFA04" w14:textId="77777777" w:rsidR="00281830" w:rsidRPr="00281830" w:rsidRDefault="00281830" w:rsidP="004D52F0">
            <w:pPr>
              <w:jc w:val="center"/>
            </w:pPr>
            <w:r w:rsidRPr="00281830">
              <w:rPr>
                <w:b/>
                <w:bCs/>
              </w:rPr>
              <w:t xml:space="preserve">Послуга не надається </w:t>
            </w:r>
          </w:p>
        </w:tc>
      </w:tr>
      <w:tr w:rsidR="00281830" w:rsidRPr="00281830" w14:paraId="6EE791DA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69046692" w14:textId="2221D235" w:rsidR="00281830" w:rsidRPr="008610CD" w:rsidRDefault="004F1A1C" w:rsidP="004D52F0">
            <w:pPr>
              <w:rPr>
                <w:lang w:val="en-US"/>
              </w:rPr>
            </w:pPr>
            <w:r>
              <w:t>Обслуговування</w:t>
            </w:r>
            <w:r w:rsidRPr="00281830">
              <w:t xml:space="preserve"> </w:t>
            </w:r>
            <w:r w:rsidR="00281830" w:rsidRPr="00281830">
              <w:t>неактивн</w:t>
            </w:r>
            <w:r>
              <w:t>ої</w:t>
            </w:r>
            <w:r w:rsidR="00281830" w:rsidRPr="00281830">
              <w:t xml:space="preserve"> картк</w:t>
            </w:r>
            <w:r>
              <w:t>и</w:t>
            </w:r>
            <w:r w:rsidR="008610CD" w:rsidRPr="008610CD">
              <w:rPr>
                <w:vertAlign w:val="superscript"/>
                <w:lang w:val="en-US"/>
              </w:rPr>
              <w:t>3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68DFDB29" w14:textId="77777777" w:rsidR="00281830" w:rsidRPr="00281830" w:rsidRDefault="00281830" w:rsidP="004D52F0">
            <w:pPr>
              <w:jc w:val="center"/>
            </w:pPr>
            <w:r w:rsidRPr="00281830">
              <w:t xml:space="preserve"> Включено у вартість обслуговування</w:t>
            </w:r>
          </w:p>
        </w:tc>
      </w:tr>
      <w:tr w:rsidR="00281830" w:rsidRPr="00281830" w14:paraId="65BA585E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44D34FDB" w14:textId="77896BB8" w:rsidR="00281830" w:rsidRPr="00281830" w:rsidRDefault="00281830" w:rsidP="004D52F0">
            <w:r w:rsidRPr="00281830">
              <w:t>СМС-інформування</w:t>
            </w:r>
            <w:r w:rsidR="009F2299">
              <w:t xml:space="preserve"> (надання виписок у вигляді текстових повідомлень з використанням мобільного зв’язку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79AB618B" w14:textId="77777777" w:rsidR="00281830" w:rsidRPr="00281830" w:rsidRDefault="00281830" w:rsidP="004D52F0">
            <w:pPr>
              <w:jc w:val="center"/>
            </w:pPr>
          </w:p>
          <w:p w14:paraId="3EC9FB4C" w14:textId="77777777" w:rsidR="00281830" w:rsidRPr="00281830" w:rsidRDefault="00281830" w:rsidP="004D52F0">
            <w:pPr>
              <w:jc w:val="center"/>
            </w:pPr>
            <w:r w:rsidRPr="00281830">
              <w:t>Включено у вартість обслуговування</w:t>
            </w:r>
          </w:p>
        </w:tc>
      </w:tr>
      <w:tr w:rsidR="00281830" w:rsidRPr="00281830" w14:paraId="4A703B81" w14:textId="77777777" w:rsidTr="00281830">
        <w:trPr>
          <w:trHeight w:val="945"/>
        </w:trPr>
        <w:tc>
          <w:tcPr>
            <w:tcW w:w="6086" w:type="dxa"/>
            <w:shd w:val="clear" w:color="auto" w:fill="auto"/>
            <w:vAlign w:val="center"/>
            <w:hideMark/>
          </w:tcPr>
          <w:p w14:paraId="38DCEC1C" w14:textId="219C1274" w:rsidR="00281830" w:rsidRPr="00281830" w:rsidRDefault="009F2299" w:rsidP="004D52F0">
            <w:r>
              <w:t>З</w:t>
            </w:r>
            <w:r w:rsidR="004F1A1C">
              <w:t>амін</w:t>
            </w:r>
            <w:r>
              <w:t>а</w:t>
            </w:r>
            <w:r w:rsidR="004F1A1C" w:rsidRPr="00281830">
              <w:t xml:space="preserve"> </w:t>
            </w:r>
            <w:r w:rsidR="00281830" w:rsidRPr="00281830">
              <w:t>картки по ініціативі клієнта (при втраті, пошкодженні, вилученні банкоматом і т.д.)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0E5ABF79" w14:textId="77777777" w:rsidR="00281830" w:rsidRPr="00281830" w:rsidRDefault="00281830" w:rsidP="004D52F0">
            <w:pPr>
              <w:jc w:val="center"/>
            </w:pPr>
            <w:r w:rsidRPr="00281830">
              <w:t>500 грн.</w:t>
            </w:r>
          </w:p>
        </w:tc>
      </w:tr>
      <w:tr w:rsidR="00281830" w:rsidRPr="00281830" w14:paraId="352AE615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4EA7A6B1" w14:textId="7B6B0F5F" w:rsidR="00281830" w:rsidRPr="00281830" w:rsidRDefault="009F2299" w:rsidP="004D52F0">
            <w:r>
              <w:t>Унесення, вилучення</w:t>
            </w:r>
            <w:r w:rsidR="00281830" w:rsidRPr="00281830">
              <w:t xml:space="preserve"> карток</w:t>
            </w:r>
            <w:r>
              <w:t xml:space="preserve"> до/із стоп-списку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10B2C48C" w14:textId="77777777" w:rsidR="00281830" w:rsidRPr="00281830" w:rsidRDefault="00281830" w:rsidP="004D52F0">
            <w:pPr>
              <w:jc w:val="center"/>
            </w:pPr>
            <w:r w:rsidRPr="00281830">
              <w:t xml:space="preserve"> Включено у вартість обслуговування</w:t>
            </w:r>
          </w:p>
        </w:tc>
      </w:tr>
      <w:tr w:rsidR="00281830" w:rsidRPr="00281830" w14:paraId="1AA0816C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49C98873" w14:textId="77777777" w:rsidR="00281830" w:rsidRPr="00281830" w:rsidRDefault="00281830" w:rsidP="004D52F0">
            <w:r w:rsidRPr="00281830">
              <w:t>Зміна авторизаційного ліміту на проведення операцій по карті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53846EEE" w14:textId="77777777" w:rsidR="00281830" w:rsidRPr="00281830" w:rsidRDefault="00281830" w:rsidP="004D52F0">
            <w:pPr>
              <w:jc w:val="center"/>
            </w:pPr>
            <w:r w:rsidRPr="00281830">
              <w:t>Включено у вартість обслуговування</w:t>
            </w:r>
          </w:p>
        </w:tc>
      </w:tr>
      <w:tr w:rsidR="00281830" w:rsidRPr="00281830" w14:paraId="5DA48A5E" w14:textId="77777777" w:rsidTr="00281830">
        <w:trPr>
          <w:trHeight w:val="330"/>
        </w:trPr>
        <w:tc>
          <w:tcPr>
            <w:tcW w:w="6086" w:type="dxa"/>
            <w:shd w:val="clear" w:color="auto" w:fill="auto"/>
            <w:vAlign w:val="center"/>
            <w:hideMark/>
          </w:tcPr>
          <w:p w14:paraId="1A91C15C" w14:textId="77777777" w:rsidR="00281830" w:rsidRPr="00281830" w:rsidRDefault="00281830" w:rsidP="004D52F0">
            <w:r w:rsidRPr="00281830">
              <w:t>Закриття рахунків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64B3B7F1" w14:textId="77777777" w:rsidR="00281830" w:rsidRPr="00281830" w:rsidRDefault="00281830" w:rsidP="004D52F0">
            <w:pPr>
              <w:jc w:val="center"/>
            </w:pPr>
            <w:r w:rsidRPr="00281830">
              <w:t>Включено у вартість обслуговування</w:t>
            </w:r>
          </w:p>
        </w:tc>
      </w:tr>
      <w:tr w:rsidR="00281830" w:rsidRPr="00281830" w14:paraId="3B91D870" w14:textId="77777777" w:rsidTr="00281830">
        <w:trPr>
          <w:trHeight w:val="330"/>
        </w:trPr>
        <w:tc>
          <w:tcPr>
            <w:tcW w:w="6086" w:type="dxa"/>
            <w:shd w:val="clear" w:color="000000" w:fill="D9D9D9"/>
            <w:vAlign w:val="center"/>
            <w:hideMark/>
          </w:tcPr>
          <w:p w14:paraId="0C5D0E9F" w14:textId="77777777" w:rsidR="00281830" w:rsidRPr="00281830" w:rsidRDefault="00281830" w:rsidP="004D52F0">
            <w:pPr>
              <w:rPr>
                <w:b/>
                <w:bCs/>
              </w:rPr>
            </w:pPr>
            <w:r w:rsidRPr="00281830">
              <w:rPr>
                <w:b/>
                <w:bCs/>
              </w:rPr>
              <w:t>ГОТІВКОВІ ОПЕРАЦІЇ</w:t>
            </w:r>
          </w:p>
        </w:tc>
        <w:tc>
          <w:tcPr>
            <w:tcW w:w="4420" w:type="dxa"/>
            <w:shd w:val="clear" w:color="000000" w:fill="D9D9D9"/>
            <w:vAlign w:val="center"/>
            <w:hideMark/>
          </w:tcPr>
          <w:p w14:paraId="69068E66" w14:textId="77777777" w:rsidR="00281830" w:rsidRPr="00281830" w:rsidRDefault="00281830" w:rsidP="004D52F0">
            <w:pPr>
              <w:rPr>
                <w:b/>
                <w:bCs/>
              </w:rPr>
            </w:pPr>
            <w:r w:rsidRPr="00281830">
              <w:rPr>
                <w:b/>
                <w:bCs/>
              </w:rPr>
              <w:t> </w:t>
            </w:r>
          </w:p>
        </w:tc>
      </w:tr>
      <w:tr w:rsidR="00281830" w:rsidRPr="00281830" w14:paraId="65B7A56F" w14:textId="77777777" w:rsidTr="00281830">
        <w:trPr>
          <w:trHeight w:val="945"/>
        </w:trPr>
        <w:tc>
          <w:tcPr>
            <w:tcW w:w="6086" w:type="dxa"/>
            <w:shd w:val="clear" w:color="auto" w:fill="auto"/>
            <w:vAlign w:val="center"/>
            <w:hideMark/>
          </w:tcPr>
          <w:p w14:paraId="6529246A" w14:textId="77777777" w:rsidR="00281830" w:rsidRPr="00281830" w:rsidRDefault="00281830" w:rsidP="004D52F0">
            <w:r w:rsidRPr="00281830">
              <w:t>Перегляд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7666EDA4" w14:textId="77777777" w:rsidR="00281830" w:rsidRPr="00281830" w:rsidRDefault="00281830" w:rsidP="004D52F0">
            <w:pPr>
              <w:jc w:val="center"/>
            </w:pPr>
            <w:r w:rsidRPr="00281830">
              <w:t>2 грн. / 10 грн.</w:t>
            </w:r>
          </w:p>
        </w:tc>
      </w:tr>
      <w:tr w:rsidR="00281830" w:rsidRPr="00281830" w14:paraId="45A79187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51529314" w14:textId="77777777" w:rsidR="00281830" w:rsidRPr="00281830" w:rsidRDefault="00281830" w:rsidP="004D52F0">
            <w:r w:rsidRPr="00281830">
              <w:t>Зняття готівки: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14:paraId="67E1347D" w14:textId="77777777" w:rsidR="00281830" w:rsidRPr="00281830" w:rsidRDefault="00281830" w:rsidP="004D52F0">
            <w:pPr>
              <w:jc w:val="center"/>
            </w:pPr>
            <w:r w:rsidRPr="00281830">
              <w:t>1,30%</w:t>
            </w:r>
          </w:p>
        </w:tc>
      </w:tr>
      <w:tr w:rsidR="00281830" w:rsidRPr="00281830" w14:paraId="25821B8C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4886B405" w14:textId="77777777" w:rsidR="00281830" w:rsidRPr="00281830" w:rsidRDefault="00281830" w:rsidP="004D52F0">
            <w:r w:rsidRPr="00281830">
              <w:t>в мережі банкоматів АТ «СКАЙ БАНК»</w:t>
            </w:r>
          </w:p>
        </w:tc>
        <w:tc>
          <w:tcPr>
            <w:tcW w:w="4420" w:type="dxa"/>
            <w:vMerge/>
            <w:vAlign w:val="center"/>
            <w:hideMark/>
          </w:tcPr>
          <w:p w14:paraId="72B504B2" w14:textId="77777777" w:rsidR="00281830" w:rsidRPr="00281830" w:rsidRDefault="00281830" w:rsidP="004D52F0"/>
        </w:tc>
      </w:tr>
      <w:tr w:rsidR="00281830" w:rsidRPr="00281830" w14:paraId="5035118A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0B679F82" w14:textId="77777777" w:rsidR="00281830" w:rsidRPr="00281830" w:rsidRDefault="00281830" w:rsidP="004D52F0">
            <w:r w:rsidRPr="00281830">
              <w:t>в мережі POS терміналів АТ «СКАЙ БАНК»</w:t>
            </w:r>
          </w:p>
        </w:tc>
        <w:tc>
          <w:tcPr>
            <w:tcW w:w="4420" w:type="dxa"/>
            <w:vMerge/>
            <w:vAlign w:val="center"/>
            <w:hideMark/>
          </w:tcPr>
          <w:p w14:paraId="215EE2F2" w14:textId="77777777" w:rsidR="00281830" w:rsidRPr="00281830" w:rsidRDefault="00281830" w:rsidP="004D52F0"/>
        </w:tc>
      </w:tr>
      <w:tr w:rsidR="00281830" w:rsidRPr="00281830" w14:paraId="68D152F5" w14:textId="77777777" w:rsidTr="00281830">
        <w:trPr>
          <w:trHeight w:val="945"/>
        </w:trPr>
        <w:tc>
          <w:tcPr>
            <w:tcW w:w="6086" w:type="dxa"/>
            <w:shd w:val="clear" w:color="auto" w:fill="auto"/>
            <w:vAlign w:val="center"/>
            <w:hideMark/>
          </w:tcPr>
          <w:p w14:paraId="1EEEBABE" w14:textId="5539AB38" w:rsidR="00281830" w:rsidRPr="00281830" w:rsidRDefault="00281830" w:rsidP="004D52F0">
            <w:r w:rsidRPr="00281830">
              <w:lastRenderedPageBreak/>
              <w:t xml:space="preserve">Зняття готівки в мережі банкоматів </w:t>
            </w:r>
            <w:r w:rsidR="009F2299">
              <w:t>б</w:t>
            </w:r>
            <w:r w:rsidRPr="00281830">
              <w:t>анків на території України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477EDC2C" w14:textId="77777777" w:rsidR="00281830" w:rsidRPr="00281830" w:rsidRDefault="00281830" w:rsidP="004D52F0">
            <w:pPr>
              <w:jc w:val="center"/>
            </w:pPr>
            <w:r w:rsidRPr="00281830">
              <w:t>2%</w:t>
            </w:r>
          </w:p>
        </w:tc>
      </w:tr>
      <w:tr w:rsidR="00281830" w:rsidRPr="00281830" w14:paraId="4E407B52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41686C14" w14:textId="206A58FD" w:rsidR="00281830" w:rsidRPr="00281830" w:rsidRDefault="00281830" w:rsidP="004D52F0">
            <w:r w:rsidRPr="00281830">
              <w:t xml:space="preserve">Зняття готівки в мережі POS терміналів </w:t>
            </w:r>
            <w:r w:rsidR="009F2299">
              <w:t>б</w:t>
            </w:r>
            <w:r w:rsidRPr="00281830">
              <w:t>анків на території України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5E070465" w14:textId="77777777" w:rsidR="00281830" w:rsidRPr="00281830" w:rsidRDefault="00281830" w:rsidP="004D52F0">
            <w:pPr>
              <w:jc w:val="center"/>
            </w:pPr>
            <w:r w:rsidRPr="00281830">
              <w:t>2%</w:t>
            </w:r>
          </w:p>
        </w:tc>
      </w:tr>
      <w:tr w:rsidR="00281830" w:rsidRPr="00281830" w14:paraId="305ECB75" w14:textId="77777777" w:rsidTr="00281830">
        <w:trPr>
          <w:trHeight w:val="945"/>
        </w:trPr>
        <w:tc>
          <w:tcPr>
            <w:tcW w:w="6086" w:type="dxa"/>
            <w:shd w:val="clear" w:color="auto" w:fill="auto"/>
            <w:vAlign w:val="center"/>
            <w:hideMark/>
          </w:tcPr>
          <w:p w14:paraId="1AC7D075" w14:textId="77777777" w:rsidR="00281830" w:rsidRPr="00281830" w:rsidRDefault="00281830" w:rsidP="004D52F0">
            <w:r w:rsidRPr="00281830">
              <w:t>Зняття готівки в мережі банкоматів/POS терміналів інших Банків за межами України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7E94DFE8" w14:textId="77777777" w:rsidR="00281830" w:rsidRPr="00281830" w:rsidRDefault="00281830" w:rsidP="004D52F0">
            <w:pPr>
              <w:jc w:val="center"/>
            </w:pPr>
            <w:r w:rsidRPr="00281830">
              <w:t>2% min 120 грн.</w:t>
            </w:r>
          </w:p>
        </w:tc>
      </w:tr>
      <w:tr w:rsidR="00281830" w:rsidRPr="00281830" w14:paraId="3DE09BC5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3FB00ADD" w14:textId="77777777" w:rsidR="00281830" w:rsidRPr="00281830" w:rsidRDefault="00281830" w:rsidP="004D52F0">
            <w:r w:rsidRPr="00281830">
              <w:t>Безготівкова оплата товарів та послуг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5F9DA570" w14:textId="77777777" w:rsidR="00281830" w:rsidRPr="00281830" w:rsidRDefault="00281830" w:rsidP="004D52F0">
            <w:pPr>
              <w:jc w:val="center"/>
            </w:pPr>
            <w:r w:rsidRPr="00281830">
              <w:rPr>
                <w:b/>
                <w:bCs/>
              </w:rPr>
              <w:t>Включено у вартість обслуговування</w:t>
            </w:r>
          </w:p>
        </w:tc>
      </w:tr>
      <w:tr w:rsidR="00281830" w:rsidRPr="00281830" w14:paraId="55E10B9D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6CC4A57D" w14:textId="77777777" w:rsidR="00281830" w:rsidRPr="00281830" w:rsidRDefault="00281830" w:rsidP="004D52F0">
            <w:r w:rsidRPr="00281830">
              <w:t>Зняття готівки без картки через касу Банку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4F0D8CD8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>Послуга не надається</w:t>
            </w:r>
          </w:p>
        </w:tc>
      </w:tr>
      <w:tr w:rsidR="00281830" w:rsidRPr="00281830" w14:paraId="4DF9019F" w14:textId="77777777" w:rsidTr="00281830">
        <w:trPr>
          <w:trHeight w:val="945"/>
        </w:trPr>
        <w:tc>
          <w:tcPr>
            <w:tcW w:w="6086" w:type="dxa"/>
            <w:shd w:val="clear" w:color="auto" w:fill="auto"/>
            <w:vAlign w:val="center"/>
            <w:hideMark/>
          </w:tcPr>
          <w:p w14:paraId="35877B60" w14:textId="77777777" w:rsidR="00281830" w:rsidRPr="00281830" w:rsidRDefault="00281830" w:rsidP="004D52F0">
            <w:r w:rsidRPr="00281830">
              <w:t>Поповнення рахунку без картки через касу Банку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2994D696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>можливо лише з власного корпоративного рахунку, відкритого в Банку</w:t>
            </w:r>
          </w:p>
        </w:tc>
      </w:tr>
      <w:tr w:rsidR="00281830" w:rsidRPr="00281830" w14:paraId="2AF2220C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64C01563" w14:textId="77777777" w:rsidR="00281830" w:rsidRPr="00281830" w:rsidRDefault="00281830" w:rsidP="004D52F0">
            <w:r w:rsidRPr="00281830">
              <w:t>Зарахування безготівкових коштів з іншого Банку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380174FF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>Включено у вартість обслуговування</w:t>
            </w:r>
          </w:p>
        </w:tc>
      </w:tr>
      <w:tr w:rsidR="00281830" w:rsidRPr="00281830" w14:paraId="3320801B" w14:textId="77777777" w:rsidTr="00281830">
        <w:trPr>
          <w:trHeight w:val="630"/>
        </w:trPr>
        <w:tc>
          <w:tcPr>
            <w:tcW w:w="6086" w:type="dxa"/>
            <w:shd w:val="clear" w:color="000000" w:fill="FFFFFF"/>
            <w:vAlign w:val="center"/>
            <w:hideMark/>
          </w:tcPr>
          <w:p w14:paraId="2610DDCF" w14:textId="2AE4ACFD" w:rsidR="00281830" w:rsidRPr="00281830" w:rsidRDefault="009F2299" w:rsidP="004D52F0">
            <w:r>
              <w:t>З</w:t>
            </w:r>
            <w:r w:rsidR="00281830" w:rsidRPr="00281830">
              <w:t>дійснення P2P переказів з картки на картку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701A118F" w14:textId="77777777" w:rsidR="00281830" w:rsidRPr="00281830" w:rsidRDefault="00281830" w:rsidP="004D52F0">
            <w:pPr>
              <w:jc w:val="center"/>
            </w:pPr>
            <w:r w:rsidRPr="00281830">
              <w:t>Послуга не надається</w:t>
            </w:r>
          </w:p>
        </w:tc>
      </w:tr>
      <w:tr w:rsidR="00281830" w:rsidRPr="00281830" w14:paraId="3A1B75F2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00DF47AE" w14:textId="21CD3FE7" w:rsidR="00281830" w:rsidRPr="00281830" w:rsidRDefault="009F2299" w:rsidP="004D52F0">
            <w:r>
              <w:t>О</w:t>
            </w:r>
            <w:r w:rsidR="00281830" w:rsidRPr="00281830">
              <w:t>тримання P2P переказів з картки на картку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10CD96B6" w14:textId="77777777" w:rsidR="00281830" w:rsidRPr="00281830" w:rsidRDefault="00281830" w:rsidP="004D52F0">
            <w:pPr>
              <w:jc w:val="center"/>
            </w:pPr>
            <w:r w:rsidRPr="00281830">
              <w:t>Послуга не надається</w:t>
            </w:r>
          </w:p>
        </w:tc>
      </w:tr>
      <w:tr w:rsidR="00281830" w:rsidRPr="00281830" w14:paraId="77157B63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4A88A23D" w14:textId="5A193A29" w:rsidR="00281830" w:rsidRPr="00281830" w:rsidRDefault="007448E5" w:rsidP="004D52F0">
            <w:r>
              <w:t>Платіжні операції</w:t>
            </w:r>
            <w:r w:rsidR="00BB0176">
              <w:t xml:space="preserve"> (переказ коштів)</w:t>
            </w:r>
            <w:r w:rsidR="00281830" w:rsidRPr="00281830">
              <w:t xml:space="preserve"> на інші рахунки за межі Банку в сумі до 100 000,00 грн.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76C4CDBB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>5 грн.</w:t>
            </w:r>
          </w:p>
        </w:tc>
      </w:tr>
      <w:tr w:rsidR="00281830" w:rsidRPr="00281830" w14:paraId="2C26AEE9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0E2B79EE" w14:textId="14D92E68" w:rsidR="00281830" w:rsidRPr="00281830" w:rsidRDefault="007448E5" w:rsidP="004D52F0">
            <w:r>
              <w:t>Платіжні операції</w:t>
            </w:r>
            <w:r w:rsidR="00BB0176">
              <w:t xml:space="preserve"> (переказ коштів)</w:t>
            </w:r>
            <w:r w:rsidR="00281830" w:rsidRPr="00281830">
              <w:t xml:space="preserve"> на інші рахунки за межі Банку в сумі від 100 000,01 грн.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34F167C5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>15 грн.</w:t>
            </w:r>
          </w:p>
        </w:tc>
      </w:tr>
      <w:tr w:rsidR="00281830" w:rsidRPr="00281830" w14:paraId="7A617536" w14:textId="77777777" w:rsidTr="00281830">
        <w:trPr>
          <w:trHeight w:val="645"/>
        </w:trPr>
        <w:tc>
          <w:tcPr>
            <w:tcW w:w="6086" w:type="dxa"/>
            <w:shd w:val="clear" w:color="auto" w:fill="auto"/>
            <w:vAlign w:val="center"/>
            <w:hideMark/>
          </w:tcPr>
          <w:p w14:paraId="6310D8EA" w14:textId="77777777" w:rsidR="00281830" w:rsidRPr="00281830" w:rsidRDefault="00281830" w:rsidP="004D52F0">
            <w:r w:rsidRPr="00281830">
              <w:t>Видача готівки через POS-термінали в торгово-сервісній мережі на території України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185E72A9" w14:textId="77777777" w:rsidR="00281830" w:rsidRPr="00281830" w:rsidRDefault="00281830" w:rsidP="004D52F0">
            <w:pPr>
              <w:jc w:val="center"/>
              <w:rPr>
                <w:b/>
                <w:bCs/>
              </w:rPr>
            </w:pPr>
            <w:r w:rsidRPr="00281830">
              <w:rPr>
                <w:b/>
                <w:bCs/>
              </w:rPr>
              <w:t xml:space="preserve"> 2% (min 10грн.)</w:t>
            </w:r>
          </w:p>
        </w:tc>
      </w:tr>
      <w:tr w:rsidR="00281830" w:rsidRPr="00281830" w14:paraId="1559D3B8" w14:textId="77777777" w:rsidTr="00281830">
        <w:trPr>
          <w:trHeight w:val="510"/>
        </w:trPr>
        <w:tc>
          <w:tcPr>
            <w:tcW w:w="6086" w:type="dxa"/>
            <w:shd w:val="clear" w:color="000000" w:fill="D9D9D9"/>
            <w:vAlign w:val="center"/>
            <w:hideMark/>
          </w:tcPr>
          <w:p w14:paraId="07DAA530" w14:textId="77777777" w:rsidR="00281830" w:rsidRPr="00281830" w:rsidRDefault="00281830" w:rsidP="004D52F0">
            <w:pPr>
              <w:rPr>
                <w:b/>
                <w:bCs/>
              </w:rPr>
            </w:pPr>
            <w:r w:rsidRPr="00281830">
              <w:rPr>
                <w:b/>
                <w:bCs/>
              </w:rPr>
              <w:t xml:space="preserve">ІНШІ ОПЕРАЦІЇ </w:t>
            </w:r>
          </w:p>
        </w:tc>
        <w:tc>
          <w:tcPr>
            <w:tcW w:w="4420" w:type="dxa"/>
            <w:shd w:val="clear" w:color="000000" w:fill="D9D9D9"/>
            <w:vAlign w:val="center"/>
            <w:hideMark/>
          </w:tcPr>
          <w:p w14:paraId="69FFCC9F" w14:textId="77777777" w:rsidR="00281830" w:rsidRPr="00281830" w:rsidRDefault="00281830" w:rsidP="004D52F0">
            <w:pPr>
              <w:rPr>
                <w:b/>
                <w:bCs/>
              </w:rPr>
            </w:pPr>
            <w:r w:rsidRPr="00281830">
              <w:rPr>
                <w:b/>
                <w:bCs/>
              </w:rPr>
              <w:t> </w:t>
            </w:r>
          </w:p>
        </w:tc>
      </w:tr>
      <w:tr w:rsidR="00281830" w:rsidRPr="00281830" w14:paraId="059AC6FC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321BF929" w14:textId="32CD4930" w:rsidR="00281830" w:rsidRPr="00281830" w:rsidRDefault="009F2299" w:rsidP="004D52F0">
            <w:r>
              <w:t>К</w:t>
            </w:r>
            <w:r w:rsidR="00281830" w:rsidRPr="00281830">
              <w:t>онвертаці</w:t>
            </w:r>
            <w:r>
              <w:t>я</w:t>
            </w:r>
            <w:r w:rsidR="00281830" w:rsidRPr="00281830">
              <w:t xml:space="preserve"> валюти (% від суми операції)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76326006" w14:textId="77777777" w:rsidR="00281830" w:rsidRPr="00281830" w:rsidRDefault="00281830" w:rsidP="004D52F0">
            <w:pPr>
              <w:jc w:val="center"/>
            </w:pPr>
            <w:r w:rsidRPr="00281830">
              <w:t>1%</w:t>
            </w:r>
          </w:p>
        </w:tc>
      </w:tr>
      <w:tr w:rsidR="00281830" w:rsidRPr="00281830" w14:paraId="009E9708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1DD06E51" w14:textId="087D7FA5" w:rsidR="00281830" w:rsidRPr="00281830" w:rsidRDefault="009F2299" w:rsidP="004D52F0">
            <w:r>
              <w:t>Р</w:t>
            </w:r>
            <w:r w:rsidR="00281830" w:rsidRPr="00281830">
              <w:t>озслідування спірних транзакцій: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6024D8D0" w14:textId="77777777" w:rsidR="00281830" w:rsidRPr="00281830" w:rsidRDefault="00281830" w:rsidP="004D52F0">
            <w:r w:rsidRPr="00281830">
              <w:t> </w:t>
            </w:r>
          </w:p>
        </w:tc>
      </w:tr>
      <w:tr w:rsidR="00281830" w:rsidRPr="00281830" w14:paraId="4316576C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5F14BDDC" w14:textId="77777777" w:rsidR="00281830" w:rsidRPr="00281830" w:rsidRDefault="00281830" w:rsidP="004D52F0">
            <w:r w:rsidRPr="00281830">
              <w:t>Мінімальна сума, що підлягає оскарженню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39C4845B" w14:textId="77777777" w:rsidR="00281830" w:rsidRPr="00281830" w:rsidRDefault="00281830" w:rsidP="004D52F0">
            <w:pPr>
              <w:jc w:val="center"/>
            </w:pPr>
            <w:r w:rsidRPr="00281830">
              <w:t>50,00 грн.</w:t>
            </w:r>
          </w:p>
        </w:tc>
      </w:tr>
      <w:tr w:rsidR="00281830" w:rsidRPr="00281830" w14:paraId="22089B27" w14:textId="77777777" w:rsidTr="00281830">
        <w:trPr>
          <w:trHeight w:val="945"/>
        </w:trPr>
        <w:tc>
          <w:tcPr>
            <w:tcW w:w="6086" w:type="dxa"/>
            <w:shd w:val="clear" w:color="auto" w:fill="auto"/>
            <w:vAlign w:val="center"/>
            <w:hideMark/>
          </w:tcPr>
          <w:p w14:paraId="4B24A532" w14:textId="77777777" w:rsidR="00281830" w:rsidRPr="00281830" w:rsidRDefault="00281830" w:rsidP="004D52F0">
            <w:r w:rsidRPr="00281830"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57E25CA2" w14:textId="77777777" w:rsidR="00281830" w:rsidRPr="00281830" w:rsidRDefault="00281830" w:rsidP="004D52F0">
            <w:pPr>
              <w:jc w:val="center"/>
            </w:pPr>
            <w:r w:rsidRPr="00281830">
              <w:t xml:space="preserve">Не встановлюється </w:t>
            </w:r>
          </w:p>
        </w:tc>
      </w:tr>
      <w:tr w:rsidR="00281830" w:rsidRPr="00281830" w14:paraId="6CADBA30" w14:textId="77777777" w:rsidTr="00281830">
        <w:trPr>
          <w:trHeight w:val="1575"/>
        </w:trPr>
        <w:tc>
          <w:tcPr>
            <w:tcW w:w="6086" w:type="dxa"/>
            <w:shd w:val="clear" w:color="auto" w:fill="auto"/>
            <w:vAlign w:val="center"/>
            <w:hideMark/>
          </w:tcPr>
          <w:p w14:paraId="3F34FB03" w14:textId="77777777" w:rsidR="00281830" w:rsidRPr="00281830" w:rsidRDefault="00281830" w:rsidP="004D52F0">
            <w:r w:rsidRPr="00281830"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6E8E85BE" w14:textId="77777777" w:rsidR="00281830" w:rsidRPr="00281830" w:rsidRDefault="00281830" w:rsidP="004D52F0">
            <w:pPr>
              <w:jc w:val="center"/>
            </w:pPr>
            <w:r w:rsidRPr="00281830">
              <w:t>100,00 грн.</w:t>
            </w:r>
          </w:p>
        </w:tc>
      </w:tr>
      <w:tr w:rsidR="00281830" w:rsidRPr="00281830" w14:paraId="4DDBBD1A" w14:textId="77777777" w:rsidTr="00281830">
        <w:trPr>
          <w:trHeight w:val="945"/>
        </w:trPr>
        <w:tc>
          <w:tcPr>
            <w:tcW w:w="6086" w:type="dxa"/>
            <w:shd w:val="clear" w:color="auto" w:fill="auto"/>
            <w:vAlign w:val="center"/>
            <w:hideMark/>
          </w:tcPr>
          <w:p w14:paraId="5FCCC07E" w14:textId="77777777" w:rsidR="00281830" w:rsidRPr="00281830" w:rsidRDefault="00281830" w:rsidP="004D52F0">
            <w:r w:rsidRPr="00281830">
              <w:t>Постановка карти в міжнародний (паперовий) стоп-лист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4D0181C2" w14:textId="77777777" w:rsidR="00281830" w:rsidRPr="00281830" w:rsidRDefault="00281830" w:rsidP="004D52F0">
            <w:pPr>
              <w:jc w:val="center"/>
            </w:pPr>
            <w:r w:rsidRPr="00281830">
              <w:t>еквівалент 50 USD (оплата при наданні послуги та через кожні 30 днів при знаходженні)</w:t>
            </w:r>
          </w:p>
        </w:tc>
      </w:tr>
      <w:tr w:rsidR="00281830" w:rsidRPr="00281830" w14:paraId="50FA36AF" w14:textId="77777777" w:rsidTr="00281830">
        <w:trPr>
          <w:trHeight w:val="315"/>
        </w:trPr>
        <w:tc>
          <w:tcPr>
            <w:tcW w:w="6086" w:type="dxa"/>
            <w:shd w:val="clear" w:color="auto" w:fill="auto"/>
            <w:vAlign w:val="center"/>
            <w:hideMark/>
          </w:tcPr>
          <w:p w14:paraId="01F26F2F" w14:textId="77777777" w:rsidR="00281830" w:rsidRPr="00281830" w:rsidRDefault="00281830" w:rsidP="004D52F0">
            <w:r w:rsidRPr="00281830">
              <w:t>Надання довідки по рахунку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4C9FFE4B" w14:textId="77777777" w:rsidR="00281830" w:rsidRPr="00281830" w:rsidRDefault="00281830" w:rsidP="004D52F0">
            <w:pPr>
              <w:jc w:val="center"/>
            </w:pPr>
          </w:p>
          <w:p w14:paraId="30EB6123" w14:textId="77777777" w:rsidR="00281830" w:rsidRPr="00281830" w:rsidRDefault="00281830" w:rsidP="004D52F0">
            <w:pPr>
              <w:jc w:val="center"/>
            </w:pPr>
            <w:r w:rsidRPr="00281830">
              <w:rPr>
                <w:b/>
                <w:bCs/>
              </w:rPr>
              <w:t>Включено у вартість обслуговування</w:t>
            </w:r>
          </w:p>
        </w:tc>
      </w:tr>
      <w:tr w:rsidR="00281830" w:rsidRPr="00281830" w14:paraId="5B20C3D5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2A10AF8B" w14:textId="77777777" w:rsidR="00281830" w:rsidRPr="00281830" w:rsidRDefault="00281830" w:rsidP="004D52F0">
            <w:r w:rsidRPr="00281830">
              <w:t xml:space="preserve">Нарахування відсотків по несанкціонованому овердрафту (у разі виникнення)  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5D2B2469" w14:textId="77777777" w:rsidR="00281830" w:rsidRPr="00281830" w:rsidRDefault="00281830" w:rsidP="004D52F0">
            <w:pPr>
              <w:jc w:val="center"/>
            </w:pPr>
            <w:r w:rsidRPr="00281830">
              <w:t>50% річних</w:t>
            </w:r>
          </w:p>
        </w:tc>
      </w:tr>
      <w:tr w:rsidR="00281830" w:rsidRPr="00281830" w14:paraId="7F298379" w14:textId="77777777" w:rsidTr="00281830">
        <w:trPr>
          <w:trHeight w:val="630"/>
        </w:trPr>
        <w:tc>
          <w:tcPr>
            <w:tcW w:w="6086" w:type="dxa"/>
            <w:shd w:val="clear" w:color="auto" w:fill="auto"/>
            <w:vAlign w:val="center"/>
            <w:hideMark/>
          </w:tcPr>
          <w:p w14:paraId="1305AD9B" w14:textId="28C8E5BF" w:rsidR="00281830" w:rsidRPr="00281830" w:rsidRDefault="000119A3" w:rsidP="004D52F0">
            <w:r>
              <w:lastRenderedPageBreak/>
              <w:t>Т</w:t>
            </w:r>
            <w:r w:rsidR="00281830" w:rsidRPr="00281830">
              <w:t>ермінов</w:t>
            </w:r>
            <w:r w:rsidR="009F2299">
              <w:t>а</w:t>
            </w:r>
            <w:r w:rsidR="00281830" w:rsidRPr="00281830">
              <w:t xml:space="preserve"> </w:t>
            </w:r>
            <w:r w:rsidR="009F2299">
              <w:t>видача</w:t>
            </w:r>
            <w:r w:rsidR="00281830" w:rsidRPr="00281830">
              <w:t xml:space="preserve"> картки (до 3-х </w:t>
            </w:r>
            <w:r w:rsidR="009F2299">
              <w:t>робоч</w:t>
            </w:r>
            <w:r w:rsidR="00281830" w:rsidRPr="00281830">
              <w:t>их днів в залежності від регіону)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5BE1C403" w14:textId="77777777" w:rsidR="00281830" w:rsidRPr="00281830" w:rsidRDefault="00281830" w:rsidP="004D52F0">
            <w:pPr>
              <w:jc w:val="center"/>
            </w:pPr>
            <w:r w:rsidRPr="00281830">
              <w:rPr>
                <w:b/>
                <w:bCs/>
              </w:rPr>
              <w:t>Включено у вартість обслуговування</w:t>
            </w:r>
          </w:p>
        </w:tc>
      </w:tr>
      <w:tr w:rsidR="00281830" w:rsidRPr="00281830" w14:paraId="1B035738" w14:textId="77777777" w:rsidTr="00281830">
        <w:trPr>
          <w:trHeight w:val="375"/>
        </w:trPr>
        <w:tc>
          <w:tcPr>
            <w:tcW w:w="6086" w:type="dxa"/>
            <w:shd w:val="clear" w:color="auto" w:fill="auto"/>
            <w:vAlign w:val="center"/>
            <w:hideMark/>
          </w:tcPr>
          <w:p w14:paraId="76A5B7BC" w14:textId="2CC148FA" w:rsidR="00281830" w:rsidRPr="008610CD" w:rsidRDefault="00281830" w:rsidP="004D52F0">
            <w:pPr>
              <w:rPr>
                <w:lang w:val="en-US"/>
              </w:rPr>
            </w:pPr>
            <w:r w:rsidRPr="00281830">
              <w:t>Сервіс «Консьєрж-сервіс»</w:t>
            </w:r>
            <w:r w:rsidR="008610CD">
              <w:rPr>
                <w:vertAlign w:val="superscript"/>
                <w:lang w:val="en-US"/>
              </w:rPr>
              <w:t>4</w:t>
            </w:r>
          </w:p>
        </w:tc>
        <w:tc>
          <w:tcPr>
            <w:tcW w:w="4420" w:type="dxa"/>
            <w:shd w:val="clear" w:color="auto" w:fill="auto"/>
            <w:noWrap/>
            <w:vAlign w:val="center"/>
            <w:hideMark/>
          </w:tcPr>
          <w:p w14:paraId="4E868E06" w14:textId="77777777" w:rsidR="00281830" w:rsidRPr="00281830" w:rsidRDefault="00281830" w:rsidP="004D52F0">
            <w:pPr>
              <w:jc w:val="center"/>
            </w:pPr>
            <w:r w:rsidRPr="00281830">
              <w:t>Включено у вартість обслуговування</w:t>
            </w:r>
          </w:p>
        </w:tc>
      </w:tr>
      <w:tr w:rsidR="00281830" w:rsidRPr="00281830" w14:paraId="193C9597" w14:textId="77777777" w:rsidTr="00281830">
        <w:trPr>
          <w:trHeight w:val="2520"/>
        </w:trPr>
        <w:tc>
          <w:tcPr>
            <w:tcW w:w="6086" w:type="dxa"/>
            <w:shd w:val="clear" w:color="auto" w:fill="auto"/>
            <w:vAlign w:val="center"/>
            <w:hideMark/>
          </w:tcPr>
          <w:p w14:paraId="6A35CD6B" w14:textId="77777777" w:rsidR="00281830" w:rsidRPr="00281830" w:rsidRDefault="00281830" w:rsidP="004D52F0">
            <w:r w:rsidRPr="00281830">
              <w:t>Можливість доступу в Lounge зони аеропортів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2D16660D" w14:textId="77777777" w:rsidR="00281830" w:rsidRPr="00281830" w:rsidRDefault="00281830" w:rsidP="004D52F0">
            <w:pPr>
              <w:jc w:val="center"/>
            </w:pPr>
          </w:p>
          <w:p w14:paraId="4F55D4F1" w14:textId="77777777" w:rsidR="00281830" w:rsidRPr="00281830" w:rsidRDefault="00281830" w:rsidP="004D52F0">
            <w:pPr>
              <w:jc w:val="center"/>
            </w:pPr>
          </w:p>
          <w:p w14:paraId="2AD701AF" w14:textId="77777777" w:rsidR="00281830" w:rsidRPr="00281830" w:rsidRDefault="00281830" w:rsidP="004D52F0">
            <w:pPr>
              <w:jc w:val="center"/>
            </w:pPr>
            <w:r w:rsidRPr="00281830">
              <w:t xml:space="preserve">Кількість безкоштовних візитів зазначена </w:t>
            </w:r>
            <w:r w:rsidRPr="00281830">
              <w:rPr>
                <w:lang w:val="ru-RU"/>
              </w:rPr>
              <w:t xml:space="preserve">на </w:t>
            </w:r>
            <w:r w:rsidRPr="00281830">
              <w:t>сайті платіжної системи</w:t>
            </w:r>
          </w:p>
          <w:p w14:paraId="15687224" w14:textId="77777777" w:rsidR="00281830" w:rsidRPr="00281830" w:rsidRDefault="000667E7" w:rsidP="004D52F0">
            <w:pPr>
              <w:jc w:val="center"/>
            </w:pPr>
            <w:hyperlink r:id="rId6" w:history="1">
              <w:r w:rsidR="00281830" w:rsidRPr="00281830">
                <w:rPr>
                  <w:rStyle w:val="ae"/>
                  <w:color w:val="auto"/>
                </w:rPr>
                <w:t>https://www.visa.com.ua/uk_UA/pay-with-visa/promotions/lounge-key.html</w:t>
              </w:r>
            </w:hyperlink>
          </w:p>
          <w:p w14:paraId="62EF8134" w14:textId="77777777" w:rsidR="00281830" w:rsidRPr="00281830" w:rsidRDefault="00281830" w:rsidP="004D52F0">
            <w:pPr>
              <w:jc w:val="center"/>
            </w:pPr>
            <w:r w:rsidRPr="00281830">
              <w:rPr>
                <w:lang w:val="ru-RU"/>
              </w:rPr>
              <w:t xml:space="preserve">та </w:t>
            </w:r>
            <w:r w:rsidRPr="00281830">
              <w:t>може бути змінена умовами платіжної системи</w:t>
            </w:r>
          </w:p>
        </w:tc>
      </w:tr>
      <w:tr w:rsidR="00281830" w:rsidRPr="00281830" w14:paraId="0C4B6627" w14:textId="77777777" w:rsidTr="00281830">
        <w:trPr>
          <w:trHeight w:val="330"/>
        </w:trPr>
        <w:tc>
          <w:tcPr>
            <w:tcW w:w="6086" w:type="dxa"/>
            <w:shd w:val="clear" w:color="auto" w:fill="auto"/>
            <w:vAlign w:val="center"/>
            <w:hideMark/>
          </w:tcPr>
          <w:p w14:paraId="44437256" w14:textId="77777777" w:rsidR="00281830" w:rsidRPr="00281830" w:rsidRDefault="00281830" w:rsidP="004D52F0">
            <w:r w:rsidRPr="00281830">
              <w:t>Незнижуваний залишок на рахунку</w:t>
            </w:r>
          </w:p>
        </w:tc>
        <w:tc>
          <w:tcPr>
            <w:tcW w:w="4420" w:type="dxa"/>
            <w:shd w:val="clear" w:color="auto" w:fill="auto"/>
            <w:noWrap/>
            <w:vAlign w:val="center"/>
            <w:hideMark/>
          </w:tcPr>
          <w:p w14:paraId="6A8614B9" w14:textId="77777777" w:rsidR="00281830" w:rsidRPr="00281830" w:rsidRDefault="00281830" w:rsidP="004D52F0">
            <w:pPr>
              <w:jc w:val="center"/>
            </w:pPr>
          </w:p>
          <w:p w14:paraId="34D5E1FD" w14:textId="77777777" w:rsidR="00281830" w:rsidRPr="00281830" w:rsidRDefault="00281830" w:rsidP="004D52F0">
            <w:pPr>
              <w:jc w:val="center"/>
            </w:pPr>
            <w:r w:rsidRPr="00281830">
              <w:t>Не встановлюється</w:t>
            </w:r>
          </w:p>
        </w:tc>
      </w:tr>
    </w:tbl>
    <w:p w14:paraId="1EC58C71" w14:textId="7E9C6C93" w:rsidR="00281830" w:rsidRPr="008610CD" w:rsidRDefault="00281830" w:rsidP="008610CD">
      <w:pPr>
        <w:pStyle w:val="a3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281830">
        <w:rPr>
          <w:sz w:val="16"/>
          <w:szCs w:val="16"/>
        </w:rPr>
        <w:t xml:space="preserve">Розрахунковим періодом вважається білінговий період, що дорівнює періоду з останнього робочого дня попереднього місяця після здійснення Банком білінгових процедур по останній  робочий день поточного місяця до моменту здійснення Банком білінгових процедур. </w:t>
      </w:r>
    </w:p>
    <w:p w14:paraId="1BA9875F" w14:textId="419FB9FB" w:rsidR="00281830" w:rsidRDefault="00281830" w:rsidP="008610CD">
      <w:pPr>
        <w:pStyle w:val="a3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281830">
        <w:rPr>
          <w:sz w:val="16"/>
          <w:szCs w:val="16"/>
        </w:rPr>
        <w:t>Нарахування відсотків здійснюється тільки по карткових рахунках, відкритих в національній валюті.</w:t>
      </w:r>
    </w:p>
    <w:p w14:paraId="69BD39FC" w14:textId="77777777" w:rsidR="008610CD" w:rsidRPr="008610CD" w:rsidRDefault="008610CD" w:rsidP="008610CD">
      <w:pPr>
        <w:pStyle w:val="a3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8610CD">
        <w:rPr>
          <w:sz w:val="16"/>
          <w:szCs w:val="16"/>
        </w:rPr>
        <w:t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</w:t>
      </w:r>
    </w:p>
    <w:p w14:paraId="3178C192" w14:textId="77777777" w:rsidR="008610CD" w:rsidRDefault="008610CD" w:rsidP="008610CD">
      <w:pPr>
        <w:pStyle w:val="a3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281830">
        <w:rPr>
          <w:sz w:val="16"/>
          <w:szCs w:val="16"/>
        </w:rPr>
        <w:t>Сервіс надається від ТОВ "ВСК"УкрАссіст".</w:t>
      </w:r>
      <w:r w:rsidRPr="008610CD">
        <w:rPr>
          <w:sz w:val="16"/>
          <w:szCs w:val="16"/>
        </w:rPr>
        <w:t xml:space="preserve"> Детальніше на сайті компанії: </w:t>
      </w:r>
      <w:hyperlink r:id="rId7" w:history="1">
        <w:r w:rsidRPr="008610CD">
          <w:rPr>
            <w:sz w:val="16"/>
            <w:szCs w:val="16"/>
          </w:rPr>
          <w:t>www.ukrassist.com</w:t>
        </w:r>
      </w:hyperlink>
      <w:r w:rsidRPr="008610CD">
        <w:rPr>
          <w:sz w:val="16"/>
          <w:szCs w:val="16"/>
        </w:rPr>
        <w:t>.</w:t>
      </w:r>
    </w:p>
    <w:p w14:paraId="51BB0374" w14:textId="77777777" w:rsidR="00281830" w:rsidRPr="00281830" w:rsidRDefault="00281830" w:rsidP="00281830">
      <w:pPr>
        <w:ind w:firstLine="426"/>
        <w:jc w:val="center"/>
      </w:pPr>
    </w:p>
    <w:p w14:paraId="0E805EF9" w14:textId="77777777" w:rsidR="00281830" w:rsidRPr="00281830" w:rsidRDefault="00281830" w:rsidP="00281830">
      <w:pPr>
        <w:ind w:firstLine="426"/>
        <w:jc w:val="center"/>
      </w:pPr>
      <w:r w:rsidRPr="00281830">
        <w:t>Рекомендовані авторизаційні ліміти на здійснення операцій з платіжними картками</w:t>
      </w:r>
    </w:p>
    <w:p w14:paraId="6DC82429" w14:textId="77777777" w:rsidR="00281830" w:rsidRPr="00281830" w:rsidRDefault="00281830" w:rsidP="00281830">
      <w:pPr>
        <w:ind w:firstLine="426"/>
        <w:jc w:val="center"/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418"/>
        <w:gridCol w:w="1276"/>
        <w:gridCol w:w="1417"/>
        <w:gridCol w:w="1418"/>
      </w:tblGrid>
      <w:tr w:rsidR="00281830" w:rsidRPr="00281830" w14:paraId="08896D75" w14:textId="77777777" w:rsidTr="00281830">
        <w:trPr>
          <w:trHeight w:val="449"/>
        </w:trPr>
        <w:tc>
          <w:tcPr>
            <w:tcW w:w="1985" w:type="dxa"/>
            <w:vMerge w:val="restart"/>
            <w:shd w:val="clear" w:color="auto" w:fill="auto"/>
          </w:tcPr>
          <w:p w14:paraId="32203175" w14:textId="77777777" w:rsidR="00281830" w:rsidRPr="00281830" w:rsidRDefault="00281830" w:rsidP="004D52F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14:paraId="18161306" w14:textId="77777777" w:rsidR="00281830" w:rsidRPr="00281830" w:rsidRDefault="00281830" w:rsidP="004D52F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14:paraId="21E48587" w14:textId="77777777" w:rsidR="00281830" w:rsidRPr="00281830" w:rsidRDefault="00281830" w:rsidP="004D52F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14:paraId="56E3564C" w14:textId="77777777" w:rsidR="00281830" w:rsidRPr="00281830" w:rsidRDefault="00281830" w:rsidP="004D52F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Тип картки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A727BAC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4FF5C10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37B9ED8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81830" w:rsidRPr="00281830" w14:paraId="54948BB4" w14:textId="77777777" w:rsidTr="00281830">
        <w:trPr>
          <w:trHeight w:val="348"/>
        </w:trPr>
        <w:tc>
          <w:tcPr>
            <w:tcW w:w="1985" w:type="dxa"/>
            <w:vMerge/>
            <w:shd w:val="clear" w:color="auto" w:fill="auto"/>
          </w:tcPr>
          <w:p w14:paraId="1B38E2B2" w14:textId="77777777" w:rsidR="00281830" w:rsidRPr="00281830" w:rsidRDefault="00281830" w:rsidP="004D52F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05D7B30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Сума, грн.</w:t>
            </w:r>
          </w:p>
        </w:tc>
        <w:tc>
          <w:tcPr>
            <w:tcW w:w="1559" w:type="dxa"/>
            <w:shd w:val="clear" w:color="auto" w:fill="auto"/>
          </w:tcPr>
          <w:p w14:paraId="4D4BC6F0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shd w:val="clear" w:color="auto" w:fill="auto"/>
          </w:tcPr>
          <w:p w14:paraId="6F1BD19B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Сума, грн.</w:t>
            </w:r>
          </w:p>
        </w:tc>
        <w:tc>
          <w:tcPr>
            <w:tcW w:w="1276" w:type="dxa"/>
            <w:shd w:val="clear" w:color="auto" w:fill="auto"/>
          </w:tcPr>
          <w:p w14:paraId="19452125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Кількість, шт.</w:t>
            </w:r>
          </w:p>
        </w:tc>
        <w:tc>
          <w:tcPr>
            <w:tcW w:w="1417" w:type="dxa"/>
            <w:shd w:val="clear" w:color="auto" w:fill="auto"/>
          </w:tcPr>
          <w:p w14:paraId="0C154968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Сума, грн.</w:t>
            </w:r>
          </w:p>
        </w:tc>
        <w:tc>
          <w:tcPr>
            <w:tcW w:w="1418" w:type="dxa"/>
            <w:shd w:val="clear" w:color="auto" w:fill="auto"/>
          </w:tcPr>
          <w:p w14:paraId="27ADE0C4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Кількість, шт.</w:t>
            </w:r>
          </w:p>
        </w:tc>
      </w:tr>
      <w:tr w:rsidR="00281830" w:rsidRPr="00281830" w14:paraId="1D27D489" w14:textId="77777777" w:rsidTr="00281830">
        <w:trPr>
          <w:trHeight w:val="146"/>
        </w:trPr>
        <w:tc>
          <w:tcPr>
            <w:tcW w:w="1985" w:type="dxa"/>
            <w:shd w:val="clear" w:color="auto" w:fill="auto"/>
          </w:tcPr>
          <w:p w14:paraId="61C063B0" w14:textId="77777777" w:rsidR="00281830" w:rsidRPr="00281830" w:rsidRDefault="00281830" w:rsidP="004D52F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Visa Business Platinum</w:t>
            </w:r>
          </w:p>
        </w:tc>
        <w:tc>
          <w:tcPr>
            <w:tcW w:w="1559" w:type="dxa"/>
            <w:shd w:val="clear" w:color="auto" w:fill="auto"/>
          </w:tcPr>
          <w:p w14:paraId="2CBD34F9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50 000</w:t>
            </w:r>
          </w:p>
        </w:tc>
        <w:tc>
          <w:tcPr>
            <w:tcW w:w="1559" w:type="dxa"/>
            <w:shd w:val="clear" w:color="auto" w:fill="auto"/>
          </w:tcPr>
          <w:p w14:paraId="71A60CB8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0A42EE00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50 000</w:t>
            </w:r>
          </w:p>
        </w:tc>
        <w:tc>
          <w:tcPr>
            <w:tcW w:w="1276" w:type="dxa"/>
            <w:shd w:val="clear" w:color="auto" w:fill="auto"/>
          </w:tcPr>
          <w:p w14:paraId="44B132EB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CFB2EB2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10 000</w:t>
            </w:r>
          </w:p>
        </w:tc>
        <w:tc>
          <w:tcPr>
            <w:tcW w:w="1418" w:type="dxa"/>
            <w:shd w:val="clear" w:color="auto" w:fill="auto"/>
          </w:tcPr>
          <w:p w14:paraId="2B3B4DE3" w14:textId="77777777" w:rsidR="00281830" w:rsidRPr="00281830" w:rsidRDefault="00281830" w:rsidP="004D52F0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81830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</w:tr>
    </w:tbl>
    <w:p w14:paraId="1C1141CC" w14:textId="77777777" w:rsidR="00281830" w:rsidRPr="00281830" w:rsidRDefault="00281830" w:rsidP="00281830">
      <w:pPr>
        <w:jc w:val="center"/>
        <w:rPr>
          <w:b/>
        </w:rPr>
      </w:pPr>
    </w:p>
    <w:p w14:paraId="5D15E129" w14:textId="77777777" w:rsidR="00281830" w:rsidRPr="00281830" w:rsidRDefault="00281830" w:rsidP="00281830">
      <w:pPr>
        <w:jc w:val="both"/>
        <w:rPr>
          <w:b/>
        </w:rPr>
      </w:pPr>
    </w:p>
    <w:sectPr w:rsidR="00281830" w:rsidRPr="0028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2088"/>
    <w:multiLevelType w:val="hybridMultilevel"/>
    <w:tmpl w:val="E6B8B778"/>
    <w:lvl w:ilvl="0" w:tplc="347E2C1E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993"/>
    <w:multiLevelType w:val="hybridMultilevel"/>
    <w:tmpl w:val="E3A614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910F4"/>
    <w:multiLevelType w:val="hybridMultilevel"/>
    <w:tmpl w:val="36CC8984"/>
    <w:lvl w:ilvl="0" w:tplc="B14AD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119A3"/>
    <w:rsid w:val="000342D5"/>
    <w:rsid w:val="00046C11"/>
    <w:rsid w:val="000600B6"/>
    <w:rsid w:val="000667E7"/>
    <w:rsid w:val="00066B44"/>
    <w:rsid w:val="000758E7"/>
    <w:rsid w:val="000A0062"/>
    <w:rsid w:val="000E5FF1"/>
    <w:rsid w:val="000F063C"/>
    <w:rsid w:val="000F1CCD"/>
    <w:rsid w:val="000F6BFB"/>
    <w:rsid w:val="00112952"/>
    <w:rsid w:val="00121AE6"/>
    <w:rsid w:val="00160CFF"/>
    <w:rsid w:val="00194283"/>
    <w:rsid w:val="001B3123"/>
    <w:rsid w:val="001B6A4C"/>
    <w:rsid w:val="001F7E66"/>
    <w:rsid w:val="00233823"/>
    <w:rsid w:val="00243EBB"/>
    <w:rsid w:val="00273F47"/>
    <w:rsid w:val="002744B7"/>
    <w:rsid w:val="00281830"/>
    <w:rsid w:val="00290624"/>
    <w:rsid w:val="002E2577"/>
    <w:rsid w:val="003514AA"/>
    <w:rsid w:val="00354250"/>
    <w:rsid w:val="003867C5"/>
    <w:rsid w:val="0039057A"/>
    <w:rsid w:val="003A7865"/>
    <w:rsid w:val="003E5D4B"/>
    <w:rsid w:val="003F62A7"/>
    <w:rsid w:val="00432872"/>
    <w:rsid w:val="00445915"/>
    <w:rsid w:val="00463F23"/>
    <w:rsid w:val="004B7CC1"/>
    <w:rsid w:val="004F0E8E"/>
    <w:rsid w:val="004F1A1C"/>
    <w:rsid w:val="004F2B9C"/>
    <w:rsid w:val="0053555B"/>
    <w:rsid w:val="00535C62"/>
    <w:rsid w:val="00575E63"/>
    <w:rsid w:val="005979D7"/>
    <w:rsid w:val="005A2128"/>
    <w:rsid w:val="005B4E8C"/>
    <w:rsid w:val="005C4862"/>
    <w:rsid w:val="005D2EDE"/>
    <w:rsid w:val="00686BD4"/>
    <w:rsid w:val="00687219"/>
    <w:rsid w:val="00687BD0"/>
    <w:rsid w:val="006B34CD"/>
    <w:rsid w:val="006B5E7C"/>
    <w:rsid w:val="007332FC"/>
    <w:rsid w:val="007448E5"/>
    <w:rsid w:val="007713F6"/>
    <w:rsid w:val="007817C0"/>
    <w:rsid w:val="007A79B5"/>
    <w:rsid w:val="007B4BC4"/>
    <w:rsid w:val="007E599C"/>
    <w:rsid w:val="00817E55"/>
    <w:rsid w:val="00822FC6"/>
    <w:rsid w:val="008610CD"/>
    <w:rsid w:val="008A7832"/>
    <w:rsid w:val="008D786C"/>
    <w:rsid w:val="008E1D03"/>
    <w:rsid w:val="008F05EE"/>
    <w:rsid w:val="00953CC9"/>
    <w:rsid w:val="009973B0"/>
    <w:rsid w:val="009C0C05"/>
    <w:rsid w:val="009E13E4"/>
    <w:rsid w:val="009F2299"/>
    <w:rsid w:val="00A00FC7"/>
    <w:rsid w:val="00A07486"/>
    <w:rsid w:val="00A15B8D"/>
    <w:rsid w:val="00A23F53"/>
    <w:rsid w:val="00A42B60"/>
    <w:rsid w:val="00A446EB"/>
    <w:rsid w:val="00A879CD"/>
    <w:rsid w:val="00AF7D6F"/>
    <w:rsid w:val="00B222C3"/>
    <w:rsid w:val="00B2548E"/>
    <w:rsid w:val="00B41592"/>
    <w:rsid w:val="00B4310E"/>
    <w:rsid w:val="00B43B90"/>
    <w:rsid w:val="00B56C91"/>
    <w:rsid w:val="00B77ED9"/>
    <w:rsid w:val="00B9200E"/>
    <w:rsid w:val="00BA5FE6"/>
    <w:rsid w:val="00BB0176"/>
    <w:rsid w:val="00BE3CDC"/>
    <w:rsid w:val="00BF77FB"/>
    <w:rsid w:val="00C10B54"/>
    <w:rsid w:val="00CE008D"/>
    <w:rsid w:val="00CE29A4"/>
    <w:rsid w:val="00D04DC6"/>
    <w:rsid w:val="00D43E94"/>
    <w:rsid w:val="00D60EA2"/>
    <w:rsid w:val="00D62E80"/>
    <w:rsid w:val="00DC0200"/>
    <w:rsid w:val="00DC0295"/>
    <w:rsid w:val="00E210B3"/>
    <w:rsid w:val="00E22CA9"/>
    <w:rsid w:val="00E625D1"/>
    <w:rsid w:val="00E84A2C"/>
    <w:rsid w:val="00EB2938"/>
    <w:rsid w:val="00EB6DC1"/>
    <w:rsid w:val="00EC4DF7"/>
    <w:rsid w:val="00ED1749"/>
    <w:rsid w:val="00EE51C2"/>
    <w:rsid w:val="00EF62B8"/>
    <w:rsid w:val="00F30D80"/>
    <w:rsid w:val="00F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0B2"/>
  <w15:chartTrackingRefBased/>
  <w15:docId w15:val="{C464F7CA-D380-4D56-97EE-BB795DB2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77FB"/>
    <w:pPr>
      <w:ind w:left="720"/>
      <w:contextualSpacing/>
    </w:pPr>
  </w:style>
  <w:style w:type="table" w:styleId="a5">
    <w:name w:val="Table Grid"/>
    <w:basedOn w:val="a1"/>
    <w:uiPriority w:val="39"/>
    <w:rsid w:val="00BF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02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029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Revision"/>
    <w:hidden/>
    <w:uiPriority w:val="99"/>
    <w:semiHidden/>
    <w:rsid w:val="0068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D17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1749"/>
  </w:style>
  <w:style w:type="character" w:customStyle="1" w:styleId="ab">
    <w:name w:val="Текст примечания Знак"/>
    <w:basedOn w:val="a0"/>
    <w:link w:val="aa"/>
    <w:uiPriority w:val="99"/>
    <w:semiHidden/>
    <w:rsid w:val="00ED1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17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17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290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73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281830"/>
    <w:rPr>
      <w:color w:val="0563C1"/>
      <w:u w:val="single"/>
    </w:rPr>
  </w:style>
  <w:style w:type="character" w:customStyle="1" w:styleId="a4">
    <w:name w:val="Абзац списка Знак"/>
    <w:link w:val="a3"/>
    <w:uiPriority w:val="34"/>
    <w:locked/>
    <w:rsid w:val="002818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assi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a.com.ua/uk_UA/pay-with-visa/promotions/lounge-key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Скрипникова Марина Анатоліївна</dc:creator>
  <cp:keywords/>
  <dc:description/>
  <cp:lastModifiedBy>User</cp:lastModifiedBy>
  <cp:revision>17</cp:revision>
  <dcterms:created xsi:type="dcterms:W3CDTF">2023-09-21T12:36:00Z</dcterms:created>
  <dcterms:modified xsi:type="dcterms:W3CDTF">2025-04-07T15:11:00Z</dcterms:modified>
</cp:coreProperties>
</file>