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77777777" w:rsidR="00424243" w:rsidRPr="009D046C" w:rsidRDefault="00424243" w:rsidP="00424243">
      <w:pPr>
        <w:pStyle w:val="11"/>
        <w:spacing w:line="283" w:lineRule="exact"/>
        <w:ind w:left="0"/>
        <w:rPr>
          <w:b/>
          <w:lang w:val="uk-UA"/>
        </w:rPr>
      </w:pP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454E74C2"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417CF0">
              <w:rPr>
                <w:rFonts w:eastAsiaTheme="minorHAnsi"/>
                <w:sz w:val="24"/>
                <w:szCs w:val="24"/>
                <w:lang w:eastAsia="en-US"/>
              </w:rPr>
              <w:t>17</w:t>
            </w:r>
            <w:r>
              <w:rPr>
                <w:rFonts w:eastAsiaTheme="minorHAnsi"/>
                <w:sz w:val="24"/>
                <w:szCs w:val="24"/>
                <w:lang w:eastAsia="en-US"/>
              </w:rPr>
              <w:t>»</w:t>
            </w:r>
            <w:r w:rsidR="00AD543E">
              <w:rPr>
                <w:rFonts w:eastAsiaTheme="minorHAnsi"/>
                <w:sz w:val="24"/>
                <w:szCs w:val="24"/>
                <w:lang w:eastAsia="en-US"/>
              </w:rPr>
              <w:t xml:space="preserve"> </w:t>
            </w:r>
            <w:r w:rsidR="00417CF0">
              <w:rPr>
                <w:rFonts w:eastAsiaTheme="minorHAnsi"/>
                <w:sz w:val="24"/>
                <w:szCs w:val="24"/>
                <w:lang w:eastAsia="en-US"/>
              </w:rPr>
              <w:t>червня</w:t>
            </w:r>
            <w:r w:rsidR="0018242E" w:rsidRPr="00511457">
              <w:rPr>
                <w:rFonts w:eastAsiaTheme="minorHAnsi"/>
                <w:sz w:val="24"/>
                <w:szCs w:val="24"/>
                <w:lang w:eastAsia="en-US"/>
              </w:rPr>
              <w:t xml:space="preserve"> 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56EF6321" w:rsidR="0018242E" w:rsidRPr="00F73F03" w:rsidRDefault="0018242E" w:rsidP="00AA1413">
            <w:pPr>
              <w:pStyle w:val="af9"/>
              <w:rPr>
                <w:sz w:val="24"/>
                <w:szCs w:val="24"/>
              </w:rPr>
            </w:pPr>
            <w:r w:rsidRPr="00F73F03">
              <w:rPr>
                <w:sz w:val="24"/>
                <w:szCs w:val="24"/>
              </w:rPr>
              <w:t xml:space="preserve">Протокол № </w:t>
            </w:r>
            <w:r w:rsidR="00417CF0">
              <w:rPr>
                <w:sz w:val="24"/>
                <w:szCs w:val="24"/>
              </w:rPr>
              <w:t>78</w:t>
            </w:r>
            <w:r w:rsidR="002D124B">
              <w:rPr>
                <w:sz w:val="24"/>
                <w:szCs w:val="24"/>
              </w:rPr>
              <w:t xml:space="preserve"> </w:t>
            </w:r>
            <w:r w:rsidRPr="00F73F03">
              <w:rPr>
                <w:sz w:val="24"/>
                <w:szCs w:val="24"/>
              </w:rPr>
              <w:t>від «</w:t>
            </w:r>
            <w:r w:rsidR="00417CF0">
              <w:rPr>
                <w:sz w:val="24"/>
                <w:szCs w:val="24"/>
              </w:rPr>
              <w:t>15</w:t>
            </w:r>
            <w:r w:rsidRPr="00F73F03">
              <w:rPr>
                <w:sz w:val="24"/>
                <w:szCs w:val="24"/>
              </w:rPr>
              <w:t>»</w:t>
            </w:r>
            <w:r w:rsidR="00AD543E">
              <w:rPr>
                <w:sz w:val="24"/>
                <w:szCs w:val="24"/>
              </w:rPr>
              <w:t xml:space="preserve"> </w:t>
            </w:r>
            <w:r w:rsidR="00417CF0">
              <w:rPr>
                <w:sz w:val="24"/>
                <w:szCs w:val="24"/>
              </w:rPr>
              <w:t>червня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690434">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690434">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lastRenderedPageBreak/>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2DA85F14"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424243" w:rsidRPr="00F73F03">
        <w:t>3.</w:t>
      </w:r>
      <w:r w:rsidR="003E525A">
        <w:t>3</w:t>
      </w:r>
      <w:r w:rsidR="00424243" w:rsidRPr="00F73F03">
        <w:t xml:space="preserve">.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F82DFE3" w:rsidR="00424243" w:rsidRPr="00F73F03"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005B512F" w:rsidR="00424243" w:rsidRPr="00F73F03" w:rsidRDefault="00424243" w:rsidP="00424243">
      <w:pPr>
        <w:ind w:firstLine="708"/>
        <w:jc w:val="both"/>
      </w:pPr>
      <w:r w:rsidRPr="00F73F03">
        <w:t>3.</w:t>
      </w:r>
      <w:r w:rsidR="008355C0" w:rsidRPr="00A93C2A">
        <w:t>4</w:t>
      </w:r>
      <w:r w:rsidRPr="00F73F03">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,в розділі «Відмітки банку»</w:t>
      </w:r>
      <w:r w:rsidRPr="00F73F03">
        <w:t>. Угода-Заява укладається в письмовій формі</w:t>
      </w:r>
      <w:r w:rsidR="00EB5343" w:rsidRPr="00F73F03">
        <w:t>.</w:t>
      </w:r>
    </w:p>
    <w:p w14:paraId="5A47D1CB" w14:textId="390DD457" w:rsidR="00424243" w:rsidRPr="00F73F03" w:rsidRDefault="00424243" w:rsidP="00A87125">
      <w:pPr>
        <w:spacing w:line="232" w:lineRule="auto"/>
        <w:jc w:val="both"/>
      </w:pPr>
      <w:r w:rsidRPr="00F73F03">
        <w:tab/>
        <w:t>3.</w:t>
      </w:r>
      <w:r w:rsidR="008E5935" w:rsidRPr="00A87125">
        <w:t>5</w:t>
      </w:r>
      <w:r w:rsidRPr="00F73F03">
        <w:t xml:space="preserve">. Банк відкриває Клієнту </w:t>
      </w:r>
      <w:r w:rsidR="005653EA" w:rsidRPr="00F73F03">
        <w:t>П</w:t>
      </w:r>
      <w:r w:rsidR="006F54FD" w:rsidRPr="00F73F03">
        <w:t xml:space="preserve">оточний </w:t>
      </w:r>
      <w:r w:rsidRPr="00F73F03">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w:t>
      </w:r>
      <w:r w:rsidRPr="00F73F03">
        <w:lastRenderedPageBreak/>
        <w:t>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2309652E" w14:textId="6BBF2B80" w:rsidR="009830B1" w:rsidRPr="00F73F03" w:rsidRDefault="009830B1" w:rsidP="00424243">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02117D4" w14:textId="7725120A" w:rsidR="00424243" w:rsidRPr="00F73F03" w:rsidRDefault="00424243" w:rsidP="00500A4E">
      <w:pPr>
        <w:pStyle w:val="Default"/>
        <w:jc w:val="both"/>
        <w:rPr>
          <w:sz w:val="20"/>
          <w:szCs w:val="20"/>
          <w:lang w:val="uk-UA"/>
        </w:rPr>
      </w:pPr>
      <w:r w:rsidRPr="00F73F03">
        <w:rPr>
          <w:sz w:val="20"/>
          <w:szCs w:val="20"/>
          <w:lang w:val="uk-UA"/>
        </w:rPr>
        <w:tab/>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lastRenderedPageBreak/>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 xml:space="preserve">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w:t>
      </w:r>
      <w:r w:rsidRPr="00F53F6B">
        <w:rPr>
          <w:lang w:eastAsia="uk-UA"/>
        </w:rPr>
        <w:lastRenderedPageBreak/>
        <w:t>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lastRenderedPageBreak/>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 xml:space="preserve">У випадку невиконання Клієнтом цього обов’язку, Клієнт несе відповідальність за вчинення такими особами дій щодо </w:t>
      </w:r>
      <w:r w:rsidRPr="00F73F03">
        <w:rPr>
          <w:rFonts w:eastAsia="Calibri"/>
          <w:lang w:eastAsia="ru-RU"/>
        </w:rPr>
        <w:lastRenderedPageBreak/>
        <w:t>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lastRenderedPageBreak/>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77777777"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77777777" w:rsidR="0018242E" w:rsidRPr="00C675A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14ECF7AF" w14:textId="77777777" w:rsidR="0018242E" w:rsidRPr="00F73F03" w:rsidRDefault="0018242E" w:rsidP="00F8545B">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lastRenderedPageBreak/>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lastRenderedPageBreak/>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lastRenderedPageBreak/>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xml:space="preserve">,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w:t>
      </w:r>
      <w:r w:rsidRPr="00F73F03">
        <w:rPr>
          <w:lang w:eastAsia="uk-UA"/>
        </w:rPr>
        <w:lastRenderedPageBreak/>
        <w:t>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lastRenderedPageBreak/>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lastRenderedPageBreak/>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Pr>
          <w:lang w:val="ru-RU"/>
        </w:rPr>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w:t>
      </w:r>
      <w:r w:rsidRPr="00F73F03">
        <w:rPr>
          <w:color w:val="auto"/>
          <w:sz w:val="20"/>
          <w:szCs w:val="20"/>
          <w:lang w:val="uk-UA"/>
        </w:rPr>
        <w:lastRenderedPageBreak/>
        <w:t>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Pr>
          <w:sz w:val="20"/>
          <w:szCs w:val="20"/>
          <w:lang w:val="ru-RU"/>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lastRenderedPageBreak/>
        <w:tab/>
        <w:t>4.2.</w:t>
      </w:r>
      <w:r w:rsidR="000A6861">
        <w:t>2</w:t>
      </w:r>
      <w:r w:rsidR="00877FEC">
        <w:rPr>
          <w:lang w:val="ru-RU"/>
        </w:rPr>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Pr>
          <w:lang w:val="ru-RU"/>
        </w:rPr>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Pr>
          <w:lang w:val="ru-RU"/>
        </w:rPr>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Pr>
          <w:lang w:val="ru-RU"/>
        </w:rPr>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Pr>
          <w:lang w:val="ru-RU"/>
        </w:rPr>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xml:space="preserve">, списання коштів з рахунку Клієнта здійснюється за курсом купівлі-продажу, обміну іноземної валюти, </w:t>
      </w:r>
      <w:r w:rsidRPr="00F73F03">
        <w:lastRenderedPageBreak/>
        <w:t>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Pr>
          <w:lang w:val="ru-RU"/>
        </w:rPr>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Pr>
          <w:lang w:val="ru-RU"/>
        </w:rPr>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Pr>
          <w:lang w:val="ru-RU"/>
        </w:rPr>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Pr>
          <w:lang w:val="ru-RU"/>
        </w:rPr>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Pr>
          <w:lang w:val="ru-RU"/>
        </w:rPr>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lastRenderedPageBreak/>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lastRenderedPageBreak/>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lastRenderedPageBreak/>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lastRenderedPageBreak/>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lastRenderedPageBreak/>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lastRenderedPageBreak/>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lastRenderedPageBreak/>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lastRenderedPageBreak/>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lastRenderedPageBreak/>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lastRenderedPageBreak/>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lastRenderedPageBreak/>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77777777"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w:t>
      </w:r>
      <w:r w:rsidRPr="00F73F03">
        <w:rPr>
          <w:color w:val="000000"/>
          <w:spacing w:val="1"/>
          <w:lang w:eastAsia="ru-RU"/>
        </w:rPr>
        <w:lastRenderedPageBreak/>
        <w:t xml:space="preserve">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74DE0D41" w14:textId="77777777" w:rsidR="0018242E" w:rsidRPr="00F73F03" w:rsidRDefault="0018242E" w:rsidP="0018242E">
      <w:pPr>
        <w:pStyle w:val="af9"/>
        <w:ind w:firstLine="708"/>
        <w:jc w:val="both"/>
        <w:rPr>
          <w:b/>
          <w:u w:val="single"/>
          <w:lang w:eastAsia="ru-RU"/>
        </w:rPr>
      </w:pPr>
    </w:p>
    <w:p w14:paraId="08B290CA" w14:textId="77777777" w:rsidR="005B7B97" w:rsidRDefault="005B7B97" w:rsidP="0018242E">
      <w:pPr>
        <w:pStyle w:val="af9"/>
        <w:ind w:firstLine="708"/>
        <w:jc w:val="both"/>
        <w:rPr>
          <w:b/>
          <w:u w:val="single"/>
          <w:lang w:eastAsia="ru-RU"/>
        </w:rPr>
      </w:pPr>
    </w:p>
    <w:p w14:paraId="05AF7D57" w14:textId="17A0A3A4"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lastRenderedPageBreak/>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77777777"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77777777" w:rsidR="0018242E" w:rsidRDefault="0018242E" w:rsidP="00AB06B4">
      <w:pPr>
        <w:pStyle w:val="af7"/>
        <w:numPr>
          <w:ilvl w:val="0"/>
          <w:numId w:val="30"/>
        </w:numPr>
        <w:jc w:val="both"/>
      </w:pPr>
      <w:r>
        <w:t xml:space="preserve">надавати Вкладнику довідку: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 xml:space="preserve">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w:t>
      </w:r>
      <w:r>
        <w:lastRenderedPageBreak/>
        <w:t>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lastRenderedPageBreak/>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lastRenderedPageBreak/>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w:t>
      </w:r>
      <w:r w:rsidRPr="00F73F03">
        <w:rPr>
          <w:lang w:eastAsia="uk-UA"/>
        </w:rPr>
        <w:lastRenderedPageBreak/>
        <w:t>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lastRenderedPageBreak/>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7777777"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від 1 дня 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77777777"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Pr>
          <w:lang w:eastAsia="uk-UA"/>
        </w:rPr>
        <w:t xml:space="preserve"> та відповідальної особи</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w:t>
      </w:r>
      <w:r w:rsidRPr="0090578C">
        <w:rPr>
          <w:lang w:eastAsia="ru-RU"/>
        </w:rPr>
        <w:lastRenderedPageBreak/>
        <w:t xml:space="preserve">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 xml:space="preserve">за кожен день прострочки 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lastRenderedPageBreak/>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w:t>
      </w:r>
      <w:r w:rsidRPr="0090578C">
        <w:rPr>
          <w:rFonts w:eastAsiaTheme="minorHAnsi"/>
          <w:lang w:eastAsia="en-US"/>
        </w:rPr>
        <w:lastRenderedPageBreak/>
        <w:t xml:space="preserve">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3FF1B7C6" w14:textId="77777777" w:rsidR="0018242E" w:rsidRPr="0090578C" w:rsidRDefault="0018242E" w:rsidP="00AB06B4">
      <w:pPr>
        <w:pStyle w:val="af9"/>
        <w:numPr>
          <w:ilvl w:val="0"/>
          <w:numId w:val="36"/>
        </w:numPr>
        <w:jc w:val="both"/>
        <w:rPr>
          <w:rFonts w:eastAsiaTheme="minorHAnsi"/>
          <w:lang w:eastAsia="en-US"/>
        </w:rPr>
      </w:pPr>
      <w:r w:rsidRPr="0090578C">
        <w:rPr>
          <w:rFonts w:eastAsiaTheme="minorHAnsi"/>
          <w:lang w:eastAsia="en-US"/>
        </w:rPr>
        <w:t xml:space="preserve">сплатити Банку неустойку (подвійний розмір вартості оренди понад договірного терміну за кожен день прострочки) у разі не звернення Клієнта до Банку для вилучення цінностей з сейфу в день закінчення строку оренди. </w:t>
      </w:r>
    </w:p>
    <w:p w14:paraId="3723F8FA" w14:textId="77777777" w:rsidR="0018242E" w:rsidRPr="0090578C" w:rsidRDefault="0018242E" w:rsidP="0018242E">
      <w:pPr>
        <w:jc w:val="both"/>
        <w:rPr>
          <w:b/>
        </w:rPr>
      </w:pPr>
      <w:r w:rsidRPr="0090578C">
        <w:rPr>
          <w:b/>
        </w:rPr>
        <w:tab/>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за виключенням цінних паперів, право набувальної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lastRenderedPageBreak/>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 xml:space="preserve">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w:t>
      </w:r>
      <w:r w:rsidRPr="00F73F03">
        <w:rPr>
          <w:sz w:val="20"/>
          <w:szCs w:val="20"/>
          <w:lang w:val="uk-UA"/>
        </w:rPr>
        <w:lastRenderedPageBreak/>
        <w:t>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lastRenderedPageBreak/>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lastRenderedPageBreak/>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lastRenderedPageBreak/>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w:t>
      </w:r>
      <w:r w:rsidRPr="00F73F03">
        <w:rPr>
          <w:sz w:val="20"/>
          <w:szCs w:val="20"/>
          <w:lang w:val="uk-UA"/>
        </w:rPr>
        <w:lastRenderedPageBreak/>
        <w:t xml:space="preserve">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lastRenderedPageBreak/>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lastRenderedPageBreak/>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lastRenderedPageBreak/>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lastRenderedPageBreak/>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lastRenderedPageBreak/>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A6119C0"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lastRenderedPageBreak/>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0A6861" w:rsidRDefault="000A6861" w:rsidP="00B725AA">
      <w:r>
        <w:separator/>
      </w:r>
    </w:p>
  </w:endnote>
  <w:endnote w:type="continuationSeparator" w:id="0">
    <w:p w14:paraId="18636636" w14:textId="77777777" w:rsidR="000A6861" w:rsidRDefault="000A6861"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0A6861" w:rsidRDefault="000A6861">
        <w:pPr>
          <w:pStyle w:val="aa"/>
          <w:jc w:val="right"/>
        </w:pPr>
        <w:r>
          <w:fldChar w:fldCharType="begin"/>
        </w:r>
        <w:r>
          <w:instrText>PAGE   \* MERGEFORMAT</w:instrText>
        </w:r>
        <w:r>
          <w:fldChar w:fldCharType="separate"/>
        </w:r>
        <w:r>
          <w:t>2</w:t>
        </w:r>
        <w:r>
          <w:fldChar w:fldCharType="end"/>
        </w:r>
      </w:p>
    </w:sdtContent>
  </w:sdt>
  <w:p w14:paraId="5DD0CDA9" w14:textId="77777777" w:rsidR="000A6861" w:rsidRDefault="000A68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0A6861" w:rsidRDefault="000A6861" w:rsidP="00B725AA">
      <w:r>
        <w:separator/>
      </w:r>
    </w:p>
  </w:footnote>
  <w:footnote w:type="continuationSeparator" w:id="0">
    <w:p w14:paraId="48CAB75D" w14:textId="77777777" w:rsidR="000A6861" w:rsidRDefault="000A6861"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0A6861" w:rsidRDefault="000A6861">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0A6861" w:rsidRDefault="000A686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7639"/>
    <w:rsid w:val="00090268"/>
    <w:rsid w:val="00090FB1"/>
    <w:rsid w:val="00092241"/>
    <w:rsid w:val="00092428"/>
    <w:rsid w:val="000926AD"/>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5156"/>
    <w:rsid w:val="00985B5F"/>
    <w:rsid w:val="0098682E"/>
    <w:rsid w:val="00986FEE"/>
    <w:rsid w:val="00987FED"/>
    <w:rsid w:val="0099023B"/>
    <w:rsid w:val="00990D17"/>
    <w:rsid w:val="009919B6"/>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C06"/>
    <w:rsid w:val="00A94E42"/>
    <w:rsid w:val="00A95CC7"/>
    <w:rsid w:val="00A961E0"/>
    <w:rsid w:val="00A96235"/>
    <w:rsid w:val="00A9695E"/>
    <w:rsid w:val="00A96B43"/>
    <w:rsid w:val="00A96C1F"/>
    <w:rsid w:val="00A97D67"/>
    <w:rsid w:val="00AA0648"/>
    <w:rsid w:val="00AA077B"/>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C41"/>
    <w:rsid w:val="00BD52F9"/>
    <w:rsid w:val="00BD531F"/>
    <w:rsid w:val="00BD675F"/>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61</Pages>
  <Words>193617</Words>
  <Characters>110363</Characters>
  <Application>Microsoft Office Word</Application>
  <DocSecurity>0</DocSecurity>
  <Lines>919</Lines>
  <Paragraphs>606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28</cp:revision>
  <cp:lastPrinted>2020-01-15T13:49:00Z</cp:lastPrinted>
  <dcterms:created xsi:type="dcterms:W3CDTF">2020-05-14T12:23:00Z</dcterms:created>
  <dcterms:modified xsi:type="dcterms:W3CDTF">2020-06-17T09:29:00Z</dcterms:modified>
</cp:coreProperties>
</file>