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7D22B0" w:rsidRDefault="00581D78" w:rsidP="00581D78">
      <w:pPr>
        <w:ind w:left="5424" w:firstLine="708"/>
        <w:jc w:val="left"/>
        <w:rPr>
          <w:b/>
          <w:sz w:val="16"/>
          <w:szCs w:val="16"/>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FA6B57">
        <w:rPr>
          <w:b/>
          <w:sz w:val="16"/>
          <w:szCs w:val="16"/>
        </w:rPr>
        <w:t>23</w:t>
      </w:r>
    </w:p>
    <w:p w:rsidR="00581D78" w:rsidRPr="00581D78" w:rsidRDefault="00581D78" w:rsidP="00581D78">
      <w:pPr>
        <w:ind w:left="5424" w:firstLine="708"/>
        <w:jc w:val="left"/>
        <w:rPr>
          <w:b/>
          <w:sz w:val="16"/>
          <w:szCs w:val="16"/>
          <w:u w:val="single"/>
          <w:lang w:val="ru-RU"/>
        </w:rPr>
      </w:pPr>
      <w:r w:rsidRPr="00581D78">
        <w:rPr>
          <w:b/>
          <w:sz w:val="16"/>
          <w:szCs w:val="16"/>
          <w:u w:val="single"/>
          <w:lang w:val="ru-RU"/>
        </w:rPr>
        <w:t>(</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18697B">
        <w:rPr>
          <w:b/>
          <w:sz w:val="16"/>
          <w:szCs w:val="16"/>
          <w:u w:val="single"/>
        </w:rPr>
        <w:t>06</w:t>
      </w:r>
      <w:r w:rsidRPr="00581D78">
        <w:rPr>
          <w:b/>
          <w:sz w:val="16"/>
          <w:szCs w:val="16"/>
          <w:u w:val="single"/>
        </w:rPr>
        <w:t>»</w:t>
      </w:r>
      <w:r w:rsidR="001021B0">
        <w:rPr>
          <w:b/>
          <w:sz w:val="16"/>
          <w:szCs w:val="16"/>
          <w:u w:val="single"/>
        </w:rPr>
        <w:t xml:space="preserve"> </w:t>
      </w:r>
      <w:r w:rsidR="0018697B">
        <w:rPr>
          <w:b/>
          <w:sz w:val="16"/>
          <w:szCs w:val="16"/>
          <w:u w:val="single"/>
        </w:rPr>
        <w:t>травня</w:t>
      </w:r>
      <w:r w:rsidR="001021B0">
        <w:rPr>
          <w:b/>
          <w:sz w:val="16"/>
          <w:szCs w:val="16"/>
          <w:u w:val="single"/>
        </w:rPr>
        <w:t xml:space="preserve"> </w:t>
      </w:r>
      <w:r w:rsidRPr="00581D78">
        <w:rPr>
          <w:b/>
          <w:sz w:val="16"/>
          <w:szCs w:val="16"/>
          <w:u w:val="single"/>
        </w:rPr>
        <w:t>201</w:t>
      </w:r>
      <w:r w:rsidR="00396BA5">
        <w:rPr>
          <w:b/>
          <w:sz w:val="16"/>
          <w:szCs w:val="16"/>
          <w:u w:val="single"/>
        </w:rPr>
        <w:t>9</w:t>
      </w:r>
      <w:r w:rsidRPr="00581D78">
        <w:rPr>
          <w:b/>
          <w:sz w:val="16"/>
          <w:szCs w:val="16"/>
          <w:u w:val="single"/>
        </w:rPr>
        <w:t>р.</w:t>
      </w:r>
    </w:p>
    <w:p w:rsidR="002E2956" w:rsidRDefault="00581D78" w:rsidP="00F97BD1">
      <w:pPr>
        <w:ind w:left="6132"/>
        <w:jc w:val="left"/>
        <w:rPr>
          <w:b/>
          <w:sz w:val="16"/>
          <w:szCs w:val="16"/>
        </w:rPr>
      </w:pPr>
      <w:r w:rsidRPr="00581D78">
        <w:rPr>
          <w:b/>
          <w:sz w:val="16"/>
          <w:szCs w:val="16"/>
        </w:rPr>
        <w:t xml:space="preserve">згідно з рішенням Правління АТ «СКАЙ БАНК» протокол № </w:t>
      </w:r>
      <w:r w:rsidR="00375E67">
        <w:rPr>
          <w:b/>
          <w:sz w:val="16"/>
          <w:szCs w:val="16"/>
        </w:rPr>
        <w:t>34</w:t>
      </w:r>
      <w:r w:rsidRPr="00581D78">
        <w:rPr>
          <w:b/>
          <w:sz w:val="16"/>
          <w:szCs w:val="16"/>
        </w:rPr>
        <w:t xml:space="preserve"> від «</w:t>
      </w:r>
      <w:r w:rsidR="00375E67">
        <w:rPr>
          <w:b/>
          <w:sz w:val="16"/>
          <w:szCs w:val="16"/>
        </w:rPr>
        <w:t>04</w:t>
      </w:r>
      <w:r w:rsidRPr="00581D78">
        <w:rPr>
          <w:b/>
          <w:sz w:val="16"/>
          <w:szCs w:val="16"/>
        </w:rPr>
        <w:t>»</w:t>
      </w:r>
      <w:r w:rsidR="001021B0">
        <w:rPr>
          <w:b/>
          <w:sz w:val="16"/>
          <w:szCs w:val="16"/>
        </w:rPr>
        <w:t xml:space="preserve"> </w:t>
      </w:r>
      <w:r w:rsidR="002D1DB5">
        <w:rPr>
          <w:b/>
          <w:sz w:val="16"/>
          <w:szCs w:val="16"/>
        </w:rPr>
        <w:t>квітня</w:t>
      </w:r>
      <w:r w:rsidR="001021B0">
        <w:rPr>
          <w:b/>
          <w:sz w:val="16"/>
          <w:szCs w:val="16"/>
        </w:rPr>
        <w:t xml:space="preserve"> </w:t>
      </w:r>
      <w:r w:rsidRPr="00581D78">
        <w:rPr>
          <w:b/>
          <w:sz w:val="16"/>
          <w:szCs w:val="16"/>
        </w:rPr>
        <w:t>201</w:t>
      </w:r>
      <w:r w:rsidR="00396BA5">
        <w:rPr>
          <w:b/>
          <w:sz w:val="16"/>
          <w:szCs w:val="16"/>
        </w:rPr>
        <w:t>9</w:t>
      </w:r>
      <w:r w:rsidRPr="00581D78">
        <w:rPr>
          <w:b/>
          <w:sz w:val="16"/>
          <w:szCs w:val="16"/>
        </w:rPr>
        <w:t>р.)</w:t>
      </w:r>
      <w:r w:rsidR="00F97BD1">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p>
    <w:p w:rsidR="002E2956" w:rsidRPr="0037667C" w:rsidRDefault="00581D78" w:rsidP="0018697B">
      <w:pPr>
        <w:ind w:left="6132"/>
        <w:jc w:val="left"/>
        <w:rPr>
          <w:b/>
          <w:noProof/>
          <w:color w:val="000000"/>
          <w:sz w:val="16"/>
          <w:szCs w:val="16"/>
          <w:lang w:eastAsia="en-US"/>
        </w:rPr>
      </w:pPr>
      <w:r w:rsidRPr="00581D78">
        <w:rPr>
          <w:b/>
          <w:noProof/>
          <w:color w:val="000000"/>
          <w:sz w:val="16"/>
          <w:szCs w:val="16"/>
          <w:lang w:eastAsia="en-US"/>
        </w:rPr>
        <w:tab/>
      </w:r>
    </w:p>
    <w:p w:rsidR="002E2956" w:rsidRPr="00F06645" w:rsidRDefault="002E2956" w:rsidP="002E2956">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Pr>
          <w:rFonts w:ascii="Times New Roman" w:hAnsi="Times New Roman" w:cs="Times New Roman"/>
          <w:w w:val="100"/>
          <w:sz w:val="24"/>
          <w:szCs w:val="24"/>
        </w:rPr>
        <w:t>б</w:t>
      </w:r>
    </w:p>
    <w:tbl>
      <w:tblPr>
        <w:tblW w:w="10532" w:type="dxa"/>
        <w:tblInd w:w="-472" w:type="dxa"/>
        <w:tblLayout w:type="fixed"/>
        <w:tblCellMar>
          <w:left w:w="0" w:type="dxa"/>
          <w:right w:w="0" w:type="dxa"/>
        </w:tblCellMar>
        <w:tblLook w:val="0000" w:firstRow="0" w:lastRow="0" w:firstColumn="0" w:lastColumn="0" w:noHBand="0" w:noVBand="0"/>
      </w:tblPr>
      <w:tblGrid>
        <w:gridCol w:w="3420"/>
        <w:gridCol w:w="7112"/>
      </w:tblGrid>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2956" w:rsidRPr="002E1DF9" w:rsidRDefault="002E2956" w:rsidP="000C0FBD">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Вклади</w:t>
            </w:r>
          </w:p>
          <w:p w:rsidR="002E2956" w:rsidRPr="002E1DF9" w:rsidRDefault="002E2956" w:rsidP="000C0FBD">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 xml:space="preserve">у </w:t>
            </w:r>
            <w:r>
              <w:rPr>
                <w:rFonts w:ascii="Times New Roman" w:hAnsi="Times New Roman" w:cs="Times New Roman"/>
                <w:w w:val="100"/>
                <w:sz w:val="24"/>
                <w:szCs w:val="24"/>
              </w:rPr>
              <w:t>АКЦІОНЕРНОМУ ТОВАРИСТВІ «СКАЙ БАНК»</w:t>
            </w:r>
            <w:r>
              <w:rPr>
                <w:rFonts w:ascii="Times New Roman" w:hAnsi="Times New Roman" w:cs="Times New Roman"/>
                <w:w w:val="100"/>
                <w:sz w:val="20"/>
                <w:szCs w:val="20"/>
              </w:rPr>
              <w:br/>
            </w:r>
            <w:r w:rsidRPr="002E1DF9">
              <w:rPr>
                <w:rFonts w:ascii="Times New Roman" w:hAnsi="Times New Roman" w:cs="Times New Roman"/>
                <w:w w:val="100"/>
                <w:sz w:val="24"/>
                <w:szCs w:val="24"/>
              </w:rPr>
              <w:t>гарантовано</w:t>
            </w:r>
          </w:p>
        </w:tc>
        <w:tc>
          <w:tcPr>
            <w:tcW w:w="711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Фондом гарантування вкладів фізичних осіб (далі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Фонд)</w:t>
            </w:r>
          </w:p>
        </w:tc>
      </w:tr>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Обмеження гарантії</w:t>
            </w:r>
          </w:p>
        </w:tc>
        <w:tc>
          <w:tcPr>
            <w:tcW w:w="711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Кожному вкладнику відшкодовуються кошти в розмірі вкладу, включаючи відсотки, станом на день початку процедури виведення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w:t>
            </w:r>
            <w:r>
              <w:rPr>
                <w:rFonts w:ascii="Times New Roman" w:hAnsi="Times New Roman" w:cs="Times New Roman"/>
                <w:w w:val="100"/>
                <w:sz w:val="24"/>
                <w:szCs w:val="24"/>
              </w:rPr>
              <w:t xml:space="preserve">двісті тисяч </w:t>
            </w:r>
            <w:r w:rsidRPr="002E1DF9">
              <w:rPr>
                <w:rFonts w:ascii="Times New Roman" w:hAnsi="Times New Roman" w:cs="Times New Roman"/>
                <w:w w:val="100"/>
                <w:sz w:val="24"/>
                <w:szCs w:val="24"/>
              </w:rPr>
              <w:t>гривень</w:t>
            </w:r>
            <w:r>
              <w:rPr>
                <w:rFonts w:ascii="Times New Roman" w:hAnsi="Times New Roman" w:cs="Times New Roman"/>
                <w:w w:val="100"/>
                <w:sz w:val="24"/>
                <w:szCs w:val="24"/>
              </w:rPr>
              <w:t xml:space="preserve"> нуль копійок</w:t>
            </w:r>
            <w:r w:rsidRPr="002E1DF9">
              <w:rPr>
                <w:rFonts w:ascii="Times New Roman" w:hAnsi="Times New Roman" w:cs="Times New Roman"/>
                <w:w w:val="100"/>
                <w:sz w:val="24"/>
                <w:szCs w:val="24"/>
              </w:rPr>
              <w:t xml:space="preserve">. </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 передані банку в довірче управління;</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2) за вкладом у розмірі менше 10 гривень;</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3) за вкладом, підтвердженим ощадним (депозитним) сертифікатом на пред’явника;</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протягом року до дня прийняття такого рішення);</w:t>
            </w:r>
          </w:p>
        </w:tc>
      </w:tr>
      <w:tr w:rsidR="002E2956" w:rsidRPr="002E1DF9" w:rsidTr="001A2211">
        <w:trPr>
          <w:trHeight w:val="459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af3"/>
              <w:widowControl/>
              <w:spacing w:line="240" w:lineRule="auto"/>
              <w:jc w:val="both"/>
              <w:textAlignment w:val="auto"/>
              <w:rPr>
                <w:color w:val="auto"/>
                <w:lang w:val="uk-UA"/>
              </w:rPr>
            </w:pP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один рік до дня прийняття такого рішення);</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6) розміщені на вклад власником істотної участі у банку;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9) за вкладами у філіях іноземних банків;</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10) за вкладами у банківських металах;</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11) розміщені на рахунках, що перебувають під арештом за рішенням суду</w:t>
            </w:r>
          </w:p>
        </w:tc>
      </w:tr>
      <w:tr w:rsidR="002E2956" w:rsidRPr="002E1DF9" w:rsidTr="001A2211">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Якщо у вкладника більше одного вкладу в банку</w:t>
            </w: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 відшкодовує кошти в розмірі вкладу, включаючи відсотки,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статті 26 Закону України «Про систему гарантування вкладів фізичних осіб» </w:t>
            </w:r>
          </w:p>
        </w:tc>
      </w:tr>
      <w:tr w:rsidR="002E2956" w:rsidRPr="002E1DF9" w:rsidTr="001A2211">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Період відшкодування у разі віднесення банку до категорії неплатоспроможних</w:t>
            </w: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не пізніше 30 робочих днів) з дня початку процедури виведення Фондом банку з ринку.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2E2956" w:rsidRPr="002E1DF9" w:rsidTr="001A2211">
        <w:trPr>
          <w:trHeight w:val="141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Валюта відшкодування</w:t>
            </w: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Відшкодування коштів за вкладом (за договорами банківського вкладу/ банківського рахунку)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w:t>
            </w:r>
            <w:r w:rsidRPr="002E1DF9">
              <w:rPr>
                <w:rFonts w:ascii="Times New Roman" w:hAnsi="Times New Roman" w:cs="Times New Roman"/>
                <w:w w:val="100"/>
                <w:sz w:val="24"/>
                <w:szCs w:val="24"/>
              </w:rPr>
              <w:lastRenderedPageBreak/>
              <w:t>виведення банку з ринку та здійснення тимчасової адміністрації відповідно до статті 36 Закону України «Про систему гарантування вкладів фізичних осіб».</w:t>
            </w:r>
          </w:p>
        </w:tc>
      </w:tr>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af3"/>
              <w:widowControl/>
              <w:spacing w:line="240" w:lineRule="auto"/>
              <w:jc w:val="both"/>
              <w:textAlignment w:val="auto"/>
              <w:rPr>
                <w:color w:val="auto"/>
                <w:lang w:val="uk-UA"/>
              </w:rPr>
            </w:pP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Контактна інформація</w:t>
            </w:r>
          </w:p>
          <w:p w:rsidR="000C6580" w:rsidRPr="002E1DF9" w:rsidRDefault="000C6580" w:rsidP="000C0FBD">
            <w:pPr>
              <w:pStyle w:val="Ch60"/>
              <w:widowControl/>
              <w:spacing w:line="240" w:lineRule="auto"/>
              <w:ind w:firstLine="0"/>
              <w:rPr>
                <w:rFonts w:ascii="Times New Roman" w:hAnsi="Times New Roman" w:cs="Times New Roman"/>
                <w:w w:val="100"/>
                <w:sz w:val="24"/>
                <w:szCs w:val="24"/>
              </w:rPr>
            </w:pPr>
            <w:r w:rsidRPr="000C6580">
              <w:rPr>
                <w:rFonts w:ascii="Times New Roman" w:hAnsi="Times New Roman" w:cs="Times New Roman"/>
                <w:w w:val="100"/>
                <w:sz w:val="24"/>
                <w:szCs w:val="24"/>
              </w:rPr>
              <w:t>Фонду гарантування вкладів фізичних осіб</w:t>
            </w: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0C6580" w:rsidRPr="000C6580" w:rsidRDefault="000C6580" w:rsidP="0018697B">
            <w:pPr>
              <w:pStyle w:val="Ch60"/>
              <w:ind w:firstLine="0"/>
              <w:rPr>
                <w:rFonts w:ascii="Times New Roman" w:hAnsi="Times New Roman" w:cs="Times New Roman"/>
                <w:w w:val="100"/>
                <w:sz w:val="24"/>
                <w:szCs w:val="24"/>
              </w:rPr>
            </w:pPr>
            <w:r w:rsidRPr="000C6580">
              <w:rPr>
                <w:rFonts w:ascii="Times New Roman" w:hAnsi="Times New Roman" w:cs="Times New Roman"/>
                <w:w w:val="100"/>
                <w:sz w:val="24"/>
                <w:szCs w:val="24"/>
              </w:rPr>
              <w:t>04053, м. Київ, вулиця Січових Стрільців, 17</w:t>
            </w:r>
          </w:p>
          <w:p w:rsidR="000C6580" w:rsidRPr="000C6580" w:rsidRDefault="000C6580" w:rsidP="0018697B">
            <w:pPr>
              <w:pStyle w:val="Ch60"/>
              <w:ind w:firstLine="0"/>
              <w:rPr>
                <w:rFonts w:ascii="Times New Roman" w:hAnsi="Times New Roman" w:cs="Times New Roman"/>
                <w:w w:val="100"/>
                <w:sz w:val="24"/>
                <w:szCs w:val="24"/>
              </w:rPr>
            </w:pPr>
            <w:r w:rsidRPr="000C6580">
              <w:rPr>
                <w:rFonts w:ascii="Times New Roman" w:hAnsi="Times New Roman" w:cs="Times New Roman"/>
                <w:w w:val="100"/>
                <w:sz w:val="24"/>
                <w:szCs w:val="24"/>
              </w:rPr>
              <w:t>Гаряча лінія Фонду гарантування вкладів фізичних осіб:</w:t>
            </w:r>
          </w:p>
          <w:p w:rsidR="000C6580" w:rsidRPr="000C6580" w:rsidRDefault="000C6580" w:rsidP="0018697B">
            <w:pPr>
              <w:pStyle w:val="Ch60"/>
              <w:ind w:firstLine="0"/>
              <w:rPr>
                <w:rFonts w:ascii="Times New Roman" w:hAnsi="Times New Roman" w:cs="Times New Roman"/>
                <w:w w:val="100"/>
                <w:sz w:val="24"/>
                <w:szCs w:val="24"/>
              </w:rPr>
            </w:pPr>
            <w:r w:rsidRPr="000C6580">
              <w:rPr>
                <w:rFonts w:ascii="Times New Roman" w:hAnsi="Times New Roman" w:cs="Times New Roman"/>
                <w:w w:val="100"/>
                <w:sz w:val="24"/>
                <w:szCs w:val="24"/>
              </w:rPr>
              <w:t>0-800-308-108</w:t>
            </w:r>
          </w:p>
          <w:p w:rsidR="000C6580" w:rsidRDefault="000C6580" w:rsidP="000C6580">
            <w:pPr>
              <w:pStyle w:val="Ch60"/>
              <w:widowControl/>
              <w:spacing w:line="240" w:lineRule="auto"/>
              <w:ind w:firstLine="0"/>
              <w:rPr>
                <w:rFonts w:ascii="Times New Roman" w:hAnsi="Times New Roman" w:cs="Times New Roman"/>
                <w:w w:val="100"/>
                <w:sz w:val="24"/>
                <w:szCs w:val="24"/>
              </w:rPr>
            </w:pPr>
            <w:r w:rsidRPr="000C6580">
              <w:rPr>
                <w:rFonts w:ascii="Times New Roman" w:hAnsi="Times New Roman" w:cs="Times New Roman"/>
                <w:w w:val="100"/>
                <w:sz w:val="24"/>
                <w:szCs w:val="24"/>
              </w:rPr>
              <w:t>(044) 333-36-55</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p>
        </w:tc>
      </w:tr>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Докладніша інформація</w:t>
            </w: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6D56F1" w:rsidP="000C0FBD">
            <w:pPr>
              <w:pStyle w:val="Ch60"/>
              <w:widowControl/>
              <w:spacing w:line="240" w:lineRule="auto"/>
              <w:ind w:firstLine="0"/>
              <w:rPr>
                <w:rFonts w:ascii="Times New Roman" w:hAnsi="Times New Roman" w:cs="Times New Roman"/>
                <w:w w:val="100"/>
                <w:sz w:val="24"/>
                <w:szCs w:val="24"/>
              </w:rPr>
            </w:pPr>
            <w:hyperlink r:id="rId9" w:history="1">
              <w:r w:rsidR="002E2956" w:rsidRPr="002E1DF9">
                <w:rPr>
                  <w:rFonts w:ascii="Times New Roman" w:hAnsi="Times New Roman" w:cs="Times New Roman"/>
                  <w:w w:val="100"/>
                  <w:sz w:val="24"/>
                  <w:szCs w:val="24"/>
                  <w:u w:val="thick"/>
                </w:rPr>
                <w:t>http://www.fg.gov.ua</w:t>
              </w:r>
            </w:hyperlink>
          </w:p>
        </w:tc>
      </w:tr>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Підтвердження одержання вкладником</w:t>
            </w:r>
          </w:p>
        </w:tc>
        <w:tc>
          <w:tcPr>
            <w:tcW w:w="7112"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_________________________</w:t>
            </w:r>
          </w:p>
          <w:p w:rsidR="002E2956" w:rsidRPr="006E58EC" w:rsidRDefault="002E2956" w:rsidP="000C0FBD">
            <w:pPr>
              <w:pStyle w:val="StrokeCh6"/>
              <w:widowControl/>
              <w:spacing w:before="0" w:line="240" w:lineRule="auto"/>
              <w:jc w:val="both"/>
              <w:rPr>
                <w:rFonts w:ascii="Times New Roman" w:hAnsi="Times New Roman" w:cs="Times New Roman"/>
                <w:w w:val="100"/>
                <w:sz w:val="20"/>
                <w:szCs w:val="20"/>
              </w:rPr>
            </w:pPr>
            <w:r>
              <w:rPr>
                <w:rFonts w:ascii="Times New Roman" w:hAnsi="Times New Roman" w:cs="Times New Roman"/>
                <w:w w:val="100"/>
                <w:sz w:val="20"/>
                <w:szCs w:val="20"/>
              </w:rPr>
              <w:t xml:space="preserve">                       </w:t>
            </w:r>
            <w:r w:rsidRPr="006E58EC">
              <w:rPr>
                <w:rFonts w:ascii="Times New Roman" w:hAnsi="Times New Roman" w:cs="Times New Roman"/>
                <w:w w:val="100"/>
                <w:sz w:val="20"/>
                <w:szCs w:val="20"/>
              </w:rPr>
              <w:t>(підпис</w:t>
            </w:r>
            <w:r w:rsidR="000C6580">
              <w:rPr>
                <w:rFonts w:ascii="Times New Roman" w:hAnsi="Times New Roman" w:cs="Times New Roman"/>
                <w:w w:val="100"/>
                <w:sz w:val="20"/>
                <w:szCs w:val="20"/>
              </w:rPr>
              <w:t xml:space="preserve"> вкладника</w:t>
            </w:r>
            <w:r w:rsidRPr="006E58EC">
              <w:rPr>
                <w:rFonts w:ascii="Times New Roman" w:hAnsi="Times New Roman" w:cs="Times New Roman"/>
                <w:w w:val="100"/>
                <w:sz w:val="20"/>
                <w:szCs w:val="20"/>
              </w:rPr>
              <w:t>)</w:t>
            </w:r>
          </w:p>
        </w:tc>
      </w:tr>
      <w:tr w:rsidR="002E2956" w:rsidRPr="002E1DF9" w:rsidTr="001A2211">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Додаткова інформація</w:t>
            </w:r>
          </w:p>
        </w:tc>
        <w:tc>
          <w:tcPr>
            <w:tcW w:w="7112"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Вкладником є фізична особа (у тому числі фізична особа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Вклади фізичних осіб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rsidR="002E2956" w:rsidRPr="002E1DF9" w:rsidRDefault="002E2956" w:rsidP="000C0FBD">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у день прийняття рішення про відкликання банківської ліцензії та ліквідацію банку)</w:t>
            </w:r>
          </w:p>
        </w:tc>
      </w:tr>
    </w:tbl>
    <w:p w:rsidR="002E2956" w:rsidRPr="00E836B5" w:rsidRDefault="002E2956" w:rsidP="002E2956">
      <w:pPr>
        <w:rPr>
          <w:sz w:val="22"/>
          <w:szCs w:val="22"/>
        </w:rPr>
      </w:pPr>
    </w:p>
    <w:p w:rsidR="00C57ABC" w:rsidRPr="00B02FD1" w:rsidRDefault="00C57ABC" w:rsidP="00C57ABC">
      <w:pPr>
        <w:rPr>
          <w:sz w:val="20"/>
          <w:szCs w:val="20"/>
        </w:rPr>
      </w:pPr>
      <w:r>
        <w:rPr>
          <w:sz w:val="20"/>
          <w:szCs w:val="20"/>
        </w:rPr>
        <w:t>(</w:t>
      </w:r>
      <w:r w:rsidRPr="00B02FD1">
        <w:rPr>
          <w:sz w:val="20"/>
          <w:szCs w:val="2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02FD1">
        <w:rPr>
          <w:sz w:val="20"/>
          <w:szCs w:val="20"/>
        </w:rPr>
        <w:t>затв</w:t>
      </w:r>
      <w:proofErr w:type="spellEnd"/>
      <w:r w:rsidRPr="00B02FD1">
        <w:rPr>
          <w:sz w:val="20"/>
          <w:szCs w:val="20"/>
        </w:rPr>
        <w:t>.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w:t>
      </w:r>
      <w:r w:rsidR="005952DE">
        <w:rPr>
          <w:sz w:val="20"/>
          <w:szCs w:val="20"/>
        </w:rPr>
        <w:t xml:space="preserve"> </w:t>
      </w:r>
    </w:p>
    <w:p w:rsidR="00C57ABC" w:rsidRPr="00B02FD1" w:rsidRDefault="00C57ABC">
      <w:pPr>
        <w:rPr>
          <w:sz w:val="20"/>
          <w:szCs w:val="20"/>
        </w:rPr>
      </w:pPr>
      <w:r w:rsidRPr="00B02FD1">
        <w:rPr>
          <w:sz w:val="20"/>
          <w:szCs w:val="20"/>
        </w:rPr>
        <w:t>(підпункт 4 пункту 2 розділу II)</w:t>
      </w:r>
      <w:r w:rsidR="00301BBA">
        <w:rPr>
          <w:sz w:val="20"/>
          <w:szCs w:val="20"/>
        </w:rPr>
        <w:t>, зі змінами</w:t>
      </w:r>
      <w:r w:rsidR="006D56F1">
        <w:rPr>
          <w:sz w:val="20"/>
          <w:szCs w:val="20"/>
        </w:rPr>
        <w:t>)</w:t>
      </w:r>
      <w:bookmarkStart w:id="0" w:name="_GoBack"/>
      <w:bookmarkEnd w:id="0"/>
    </w:p>
    <w:p w:rsidR="00C57ABC" w:rsidRPr="00E836B5" w:rsidRDefault="00C57ABC" w:rsidP="00C57ABC">
      <w:pPr>
        <w:rPr>
          <w:sz w:val="22"/>
          <w:szCs w:val="22"/>
        </w:rPr>
      </w:pPr>
    </w:p>
    <w:p w:rsidR="00A81040" w:rsidRDefault="00A81040" w:rsidP="00F97BD1">
      <w:pPr>
        <w:ind w:left="6132"/>
        <w:jc w:val="left"/>
        <w:rPr>
          <w:b/>
          <w:sz w:val="16"/>
          <w:szCs w:val="16"/>
        </w:rPr>
      </w:pPr>
    </w:p>
    <w:sectPr w:rsidR="00A81040" w:rsidSect="00772D6F">
      <w:footerReference w:type="default" r:id="rId10"/>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C25"/>
    <w:rsid w:val="00064C0D"/>
    <w:rsid w:val="0006523A"/>
    <w:rsid w:val="00067BB7"/>
    <w:rsid w:val="00074775"/>
    <w:rsid w:val="00084770"/>
    <w:rsid w:val="00097F88"/>
    <w:rsid w:val="000B3442"/>
    <w:rsid w:val="000B7D78"/>
    <w:rsid w:val="000C6580"/>
    <w:rsid w:val="000C662B"/>
    <w:rsid w:val="000D22C0"/>
    <w:rsid w:val="000F4DDB"/>
    <w:rsid w:val="00100ADE"/>
    <w:rsid w:val="0010117C"/>
    <w:rsid w:val="001021B0"/>
    <w:rsid w:val="00104005"/>
    <w:rsid w:val="00111928"/>
    <w:rsid w:val="001127E9"/>
    <w:rsid w:val="001137A0"/>
    <w:rsid w:val="00113C01"/>
    <w:rsid w:val="0011787F"/>
    <w:rsid w:val="0012472C"/>
    <w:rsid w:val="00126F7F"/>
    <w:rsid w:val="00130845"/>
    <w:rsid w:val="00134611"/>
    <w:rsid w:val="00154467"/>
    <w:rsid w:val="00156E87"/>
    <w:rsid w:val="0016423D"/>
    <w:rsid w:val="001764E0"/>
    <w:rsid w:val="0018697B"/>
    <w:rsid w:val="00186B2B"/>
    <w:rsid w:val="00186CB1"/>
    <w:rsid w:val="00193A6C"/>
    <w:rsid w:val="00195925"/>
    <w:rsid w:val="001A2211"/>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D1DB5"/>
    <w:rsid w:val="002E153A"/>
    <w:rsid w:val="002E2956"/>
    <w:rsid w:val="002E4CE7"/>
    <w:rsid w:val="002E75AA"/>
    <w:rsid w:val="002E78AA"/>
    <w:rsid w:val="002F13FD"/>
    <w:rsid w:val="00301BBA"/>
    <w:rsid w:val="00302819"/>
    <w:rsid w:val="00304692"/>
    <w:rsid w:val="00315786"/>
    <w:rsid w:val="00323D93"/>
    <w:rsid w:val="003370D3"/>
    <w:rsid w:val="003409E9"/>
    <w:rsid w:val="00342FFC"/>
    <w:rsid w:val="00345515"/>
    <w:rsid w:val="003472EA"/>
    <w:rsid w:val="00350229"/>
    <w:rsid w:val="003514EA"/>
    <w:rsid w:val="00351D6D"/>
    <w:rsid w:val="00363E5E"/>
    <w:rsid w:val="00367FA0"/>
    <w:rsid w:val="00375E67"/>
    <w:rsid w:val="0037667C"/>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7D2B"/>
    <w:rsid w:val="004660C9"/>
    <w:rsid w:val="00485853"/>
    <w:rsid w:val="00486BDD"/>
    <w:rsid w:val="00486F06"/>
    <w:rsid w:val="00493440"/>
    <w:rsid w:val="004A043E"/>
    <w:rsid w:val="004A7974"/>
    <w:rsid w:val="004B48C6"/>
    <w:rsid w:val="004C2831"/>
    <w:rsid w:val="004C46F2"/>
    <w:rsid w:val="004C4E5C"/>
    <w:rsid w:val="004D132D"/>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52DE"/>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954D0"/>
    <w:rsid w:val="006A0A34"/>
    <w:rsid w:val="006B6940"/>
    <w:rsid w:val="006B69AA"/>
    <w:rsid w:val="006B7148"/>
    <w:rsid w:val="006B718F"/>
    <w:rsid w:val="006C1C1A"/>
    <w:rsid w:val="006C24A1"/>
    <w:rsid w:val="006C5C5F"/>
    <w:rsid w:val="006D1563"/>
    <w:rsid w:val="006D3360"/>
    <w:rsid w:val="006D56F1"/>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2D6F"/>
    <w:rsid w:val="00773163"/>
    <w:rsid w:val="007829A6"/>
    <w:rsid w:val="00782D4B"/>
    <w:rsid w:val="0078374D"/>
    <w:rsid w:val="0078619C"/>
    <w:rsid w:val="00792E24"/>
    <w:rsid w:val="00793038"/>
    <w:rsid w:val="007946F1"/>
    <w:rsid w:val="007A236B"/>
    <w:rsid w:val="007B24C1"/>
    <w:rsid w:val="007B2D5F"/>
    <w:rsid w:val="007B4F98"/>
    <w:rsid w:val="007C559C"/>
    <w:rsid w:val="007C7CBC"/>
    <w:rsid w:val="007D22B0"/>
    <w:rsid w:val="007D34D1"/>
    <w:rsid w:val="007E05E0"/>
    <w:rsid w:val="007E670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5791B"/>
    <w:rsid w:val="00961FC9"/>
    <w:rsid w:val="00975C84"/>
    <w:rsid w:val="00983E38"/>
    <w:rsid w:val="00996113"/>
    <w:rsid w:val="009A0341"/>
    <w:rsid w:val="009A162B"/>
    <w:rsid w:val="009A4667"/>
    <w:rsid w:val="009B6A58"/>
    <w:rsid w:val="009C3E85"/>
    <w:rsid w:val="009C4341"/>
    <w:rsid w:val="009C534E"/>
    <w:rsid w:val="009D72FA"/>
    <w:rsid w:val="009E107F"/>
    <w:rsid w:val="009E140B"/>
    <w:rsid w:val="009F1019"/>
    <w:rsid w:val="009F7FF6"/>
    <w:rsid w:val="00A02FA7"/>
    <w:rsid w:val="00A0446E"/>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4600"/>
    <w:rsid w:val="00AB26EE"/>
    <w:rsid w:val="00AD1F10"/>
    <w:rsid w:val="00AE2E73"/>
    <w:rsid w:val="00AE795B"/>
    <w:rsid w:val="00AF0226"/>
    <w:rsid w:val="00AF1C68"/>
    <w:rsid w:val="00AF6455"/>
    <w:rsid w:val="00B0188A"/>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57ABC"/>
    <w:rsid w:val="00C62558"/>
    <w:rsid w:val="00C64533"/>
    <w:rsid w:val="00C700C9"/>
    <w:rsid w:val="00C87813"/>
    <w:rsid w:val="00CA2033"/>
    <w:rsid w:val="00CB4005"/>
    <w:rsid w:val="00CB4566"/>
    <w:rsid w:val="00CB5B51"/>
    <w:rsid w:val="00CD3F56"/>
    <w:rsid w:val="00CD6DCC"/>
    <w:rsid w:val="00CE368E"/>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390C"/>
    <w:rsid w:val="00E51344"/>
    <w:rsid w:val="00E55F01"/>
    <w:rsid w:val="00E613F7"/>
    <w:rsid w:val="00E67F6A"/>
    <w:rsid w:val="00E7260F"/>
    <w:rsid w:val="00E77902"/>
    <w:rsid w:val="00E831E9"/>
    <w:rsid w:val="00E836B5"/>
    <w:rsid w:val="00E921D8"/>
    <w:rsid w:val="00EA698A"/>
    <w:rsid w:val="00EB3E8C"/>
    <w:rsid w:val="00EB4431"/>
    <w:rsid w:val="00ED0918"/>
    <w:rsid w:val="00EE069C"/>
    <w:rsid w:val="00F03D82"/>
    <w:rsid w:val="00F048ED"/>
    <w:rsid w:val="00F120AA"/>
    <w:rsid w:val="00F12307"/>
    <w:rsid w:val="00F136EC"/>
    <w:rsid w:val="00F14C66"/>
    <w:rsid w:val="00F15838"/>
    <w:rsid w:val="00F16947"/>
    <w:rsid w:val="00F233B2"/>
    <w:rsid w:val="00F23F00"/>
    <w:rsid w:val="00F24606"/>
    <w:rsid w:val="00F35BEE"/>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6B57"/>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674D592B"/>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8BF48-F6BD-4A1B-B0B8-B95A2F4A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1058</Words>
  <Characters>6817</Characters>
  <Application>Microsoft Office Word</Application>
  <DocSecurity>0</DocSecurity>
  <Lines>56</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60</cp:revision>
  <cp:lastPrinted>2018-08-03T07:22:00Z</cp:lastPrinted>
  <dcterms:created xsi:type="dcterms:W3CDTF">2018-08-06T07:31:00Z</dcterms:created>
  <dcterms:modified xsi:type="dcterms:W3CDTF">2019-04-24T13:09:00Z</dcterms:modified>
</cp:coreProperties>
</file>