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0E12" w14:textId="0A72C719" w:rsidR="001D79BF" w:rsidRDefault="001D79BF"/>
    <w:tbl>
      <w:tblPr>
        <w:tblpPr w:leftFromText="180" w:rightFromText="180" w:vertAnchor="text" w:horzAnchor="margin" w:tblpXSpec="center" w:tblpY="16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515"/>
        <w:gridCol w:w="5497"/>
      </w:tblGrid>
      <w:tr w:rsidR="00EB60BF" w:rsidRPr="00EB60BF" w14:paraId="05228EDC" w14:textId="77777777" w:rsidTr="009509EF">
        <w:tc>
          <w:tcPr>
            <w:tcW w:w="756" w:type="dxa"/>
          </w:tcPr>
          <w:p w14:paraId="1BE95AEE" w14:textId="77777777" w:rsidR="00EB60BF" w:rsidRPr="00EB60BF" w:rsidRDefault="00EB60BF" w:rsidP="00EB60B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bookmarkStart w:id="0" w:name="_Hlk45296515"/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</w:t>
            </w:r>
          </w:p>
        </w:tc>
        <w:tc>
          <w:tcPr>
            <w:tcW w:w="10012" w:type="dxa"/>
            <w:gridSpan w:val="2"/>
          </w:tcPr>
          <w:p w14:paraId="62522A03" w14:textId="724A8891" w:rsidR="00A31380" w:rsidRPr="00EB60BF" w:rsidRDefault="00EB60BF" w:rsidP="00FC1986">
            <w:pPr>
              <w:ind w:right="1416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Прийом платежів готівкою в національній валюті для перерахування на рахунки отримувачів без укладання договору:</w:t>
            </w:r>
          </w:p>
        </w:tc>
      </w:tr>
      <w:tr w:rsidR="009509EF" w:rsidRPr="00EB60BF" w14:paraId="7A4DA8F0" w14:textId="77777777" w:rsidTr="009509EF">
        <w:trPr>
          <w:trHeight w:val="278"/>
        </w:trPr>
        <w:tc>
          <w:tcPr>
            <w:tcW w:w="756" w:type="dxa"/>
          </w:tcPr>
          <w:p w14:paraId="319089D6" w14:textId="462162DB" w:rsidR="009509EF" w:rsidRPr="00EB60BF" w:rsidRDefault="009509EF" w:rsidP="00EB60B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</w:t>
            </w: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.1.</w:t>
            </w:r>
          </w:p>
        </w:tc>
        <w:tc>
          <w:tcPr>
            <w:tcW w:w="10012" w:type="dxa"/>
            <w:gridSpan w:val="2"/>
          </w:tcPr>
          <w:p w14:paraId="1104A57F" w14:textId="4F45CFE7" w:rsidR="009509EF" w:rsidRPr="009509EF" w:rsidRDefault="009509EF" w:rsidP="002F7D70">
            <w:pPr>
              <w:ind w:right="1416"/>
              <w:jc w:val="both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Для Київського відділення № </w:t>
            </w:r>
            <w:r w:rsidRPr="005644B1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>1</w:t>
            </w:r>
            <w:r w:rsidR="005644B1" w:rsidRPr="005644B1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</w:t>
            </w:r>
            <w:r w:rsidR="005644B1" w:rsidRPr="00650A7A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>та Львівського відділення №1</w:t>
            </w:r>
            <w:r w:rsidRPr="005644B1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>:</w:t>
            </w:r>
            <w:r w:rsidRPr="009509EF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</w:t>
            </w:r>
          </w:p>
        </w:tc>
      </w:tr>
      <w:tr w:rsidR="009509EF" w:rsidRPr="00EB60BF" w14:paraId="2AEA0CF2" w14:textId="77777777" w:rsidTr="009509EF">
        <w:tc>
          <w:tcPr>
            <w:tcW w:w="756" w:type="dxa"/>
          </w:tcPr>
          <w:p w14:paraId="5FAA17DD" w14:textId="3E3B6677" w:rsidR="009509EF" w:rsidRPr="00EB60BF" w:rsidRDefault="009509EF" w:rsidP="00EB60B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1.1.1.</w:t>
            </w:r>
          </w:p>
        </w:tc>
        <w:tc>
          <w:tcPr>
            <w:tcW w:w="4515" w:type="dxa"/>
          </w:tcPr>
          <w:p w14:paraId="349D8062" w14:textId="18A8DA9F" w:rsidR="009509EF" w:rsidRPr="00EB60BF" w:rsidRDefault="009509EF" w:rsidP="00FC1986">
            <w:pPr>
              <w:ind w:right="1416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будь яка сума платежу</w:t>
            </w:r>
          </w:p>
        </w:tc>
        <w:tc>
          <w:tcPr>
            <w:tcW w:w="5497" w:type="dxa"/>
          </w:tcPr>
          <w:p w14:paraId="1B627332" w14:textId="55176217" w:rsidR="009509EF" w:rsidRPr="00EB60BF" w:rsidRDefault="009509EF" w:rsidP="00FC1986">
            <w:pPr>
              <w:ind w:right="1416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0,5% від  суми платежу, але не менше 100,00 грн. за один платіж</w:t>
            </w:r>
          </w:p>
        </w:tc>
      </w:tr>
      <w:tr w:rsidR="009509EF" w:rsidRPr="00EB60BF" w14:paraId="4E89B1C5" w14:textId="77777777" w:rsidTr="009509EF">
        <w:tc>
          <w:tcPr>
            <w:tcW w:w="756" w:type="dxa"/>
          </w:tcPr>
          <w:p w14:paraId="5A553B04" w14:textId="08EC92A0" w:rsidR="009509EF" w:rsidRPr="00EB60BF" w:rsidRDefault="009509EF" w:rsidP="00EB60B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</w:t>
            </w: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.2.</w:t>
            </w:r>
          </w:p>
        </w:tc>
        <w:tc>
          <w:tcPr>
            <w:tcW w:w="10012" w:type="dxa"/>
            <w:gridSpan w:val="2"/>
          </w:tcPr>
          <w:p w14:paraId="12C5EFB5" w14:textId="4B7EC45C" w:rsidR="009509EF" w:rsidRPr="009509EF" w:rsidRDefault="009509EF" w:rsidP="00FC1986">
            <w:pPr>
              <w:ind w:right="1416"/>
              <w:jc w:val="both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>Для Харківського Головного відділення та Харківського Центрального відділення:</w:t>
            </w:r>
          </w:p>
        </w:tc>
      </w:tr>
      <w:bookmarkEnd w:id="0"/>
      <w:tr w:rsidR="009509EF" w:rsidRPr="00EB60BF" w14:paraId="4AAECC6F" w14:textId="77777777" w:rsidTr="009509EF">
        <w:tc>
          <w:tcPr>
            <w:tcW w:w="756" w:type="dxa"/>
            <w:hideMark/>
          </w:tcPr>
          <w:p w14:paraId="19CF3244" w14:textId="2302535D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</w:t>
            </w:r>
          </w:p>
        </w:tc>
        <w:tc>
          <w:tcPr>
            <w:tcW w:w="4515" w:type="dxa"/>
            <w:hideMark/>
          </w:tcPr>
          <w:p w14:paraId="3CC811DA" w14:textId="39E248EC" w:rsidR="009509EF" w:rsidRPr="009509E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до 10 000,00 грн.</w:t>
            </w:r>
          </w:p>
        </w:tc>
        <w:tc>
          <w:tcPr>
            <w:tcW w:w="5497" w:type="dxa"/>
            <w:hideMark/>
          </w:tcPr>
          <w:p w14:paraId="5BB21272" w14:textId="77777777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1% від суми платежу, </w:t>
            </w:r>
          </w:p>
          <w:p w14:paraId="572BE9A2" w14:textId="597A8F35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але не менше  70,00 грн. за один платіж</w:t>
            </w:r>
          </w:p>
        </w:tc>
      </w:tr>
      <w:tr w:rsidR="009509EF" w:rsidRPr="00EB60BF" w14:paraId="1D987B73" w14:textId="77777777" w:rsidTr="009509EF">
        <w:tc>
          <w:tcPr>
            <w:tcW w:w="756" w:type="dxa"/>
            <w:hideMark/>
          </w:tcPr>
          <w:p w14:paraId="2EE59D56" w14:textId="0A3850B2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1.2.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5" w:type="dxa"/>
            <w:hideMark/>
          </w:tcPr>
          <w:p w14:paraId="39D1AC02" w14:textId="7598EFDF" w:rsidR="009509EF" w:rsidRPr="009509E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від 10 000,01 до  400 000,00 грн.</w:t>
            </w:r>
          </w:p>
        </w:tc>
        <w:tc>
          <w:tcPr>
            <w:tcW w:w="5497" w:type="dxa"/>
            <w:hideMark/>
          </w:tcPr>
          <w:p w14:paraId="6AD0F2F4" w14:textId="77777777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1,0% від суми платежу</w:t>
            </w:r>
          </w:p>
          <w:p w14:paraId="65B9A269" w14:textId="07372D49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9509EF" w:rsidRPr="00EB60BF" w14:paraId="327C96B5" w14:textId="77777777" w:rsidTr="009509EF">
        <w:tc>
          <w:tcPr>
            <w:tcW w:w="756" w:type="dxa"/>
            <w:hideMark/>
          </w:tcPr>
          <w:p w14:paraId="7DC4B46E" w14:textId="1976CBCC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3.</w:t>
            </w:r>
          </w:p>
        </w:tc>
        <w:tc>
          <w:tcPr>
            <w:tcW w:w="4515" w:type="dxa"/>
            <w:hideMark/>
          </w:tcPr>
          <w:p w14:paraId="7E4ACF00" w14:textId="031906BE" w:rsidR="009509EF" w:rsidRPr="009509E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від  400 000,01 грн. до 3 000 000,00 грн.</w:t>
            </w:r>
          </w:p>
        </w:tc>
        <w:tc>
          <w:tcPr>
            <w:tcW w:w="5497" w:type="dxa"/>
          </w:tcPr>
          <w:p w14:paraId="16F43AB3" w14:textId="79EF984E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0,8% від суми платежу</w:t>
            </w:r>
          </w:p>
        </w:tc>
      </w:tr>
      <w:tr w:rsidR="009509EF" w:rsidRPr="00EB60BF" w14:paraId="0DCAB9DE" w14:textId="77777777" w:rsidTr="009509EF">
        <w:tc>
          <w:tcPr>
            <w:tcW w:w="756" w:type="dxa"/>
          </w:tcPr>
          <w:p w14:paraId="1D9C96B0" w14:textId="0E435466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4.</w:t>
            </w:r>
          </w:p>
        </w:tc>
        <w:tc>
          <w:tcPr>
            <w:tcW w:w="4515" w:type="dxa"/>
          </w:tcPr>
          <w:p w14:paraId="1B4DA832" w14:textId="262B00E6" w:rsidR="009509EF" w:rsidRPr="009509E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від 3 000 000,01 грн. до 10 000 000,00 грн.</w:t>
            </w:r>
          </w:p>
        </w:tc>
        <w:tc>
          <w:tcPr>
            <w:tcW w:w="5497" w:type="dxa"/>
          </w:tcPr>
          <w:p w14:paraId="0D3A39DE" w14:textId="3477CB02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0,45% від суми платежу</w:t>
            </w:r>
          </w:p>
        </w:tc>
      </w:tr>
      <w:tr w:rsidR="009509EF" w:rsidRPr="00EB60BF" w14:paraId="3C6762D7" w14:textId="77777777" w:rsidTr="009509EF">
        <w:tc>
          <w:tcPr>
            <w:tcW w:w="756" w:type="dxa"/>
          </w:tcPr>
          <w:p w14:paraId="4E765FEB" w14:textId="30D0E4DA" w:rsidR="009509EF" w:rsidRPr="004A331C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4A331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4A331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5.</w:t>
            </w:r>
          </w:p>
        </w:tc>
        <w:tc>
          <w:tcPr>
            <w:tcW w:w="4515" w:type="dxa"/>
          </w:tcPr>
          <w:p w14:paraId="2E4A9E1A" w14:textId="780DD947" w:rsidR="009509EF" w:rsidRPr="009509E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від 10 000 000,01 грн.</w:t>
            </w:r>
          </w:p>
        </w:tc>
        <w:tc>
          <w:tcPr>
            <w:tcW w:w="5497" w:type="dxa"/>
          </w:tcPr>
          <w:p w14:paraId="7FA01C37" w14:textId="592F1373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0,35%  від суми платежу</w:t>
            </w:r>
          </w:p>
        </w:tc>
      </w:tr>
      <w:tr w:rsidR="00C76AD5" w:rsidRPr="00EB60BF" w14:paraId="18EC7955" w14:textId="77777777" w:rsidTr="009509EF">
        <w:tc>
          <w:tcPr>
            <w:tcW w:w="756" w:type="dxa"/>
            <w:hideMark/>
          </w:tcPr>
          <w:p w14:paraId="70AE61A3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2.</w:t>
            </w:r>
          </w:p>
        </w:tc>
        <w:tc>
          <w:tcPr>
            <w:tcW w:w="10012" w:type="dxa"/>
            <w:gridSpan w:val="2"/>
          </w:tcPr>
          <w:p w14:paraId="6CE499C8" w14:textId="30660A9A" w:rsidR="00A31380" w:rsidRPr="00EB60BF" w:rsidRDefault="00C76AD5" w:rsidP="00FC1986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Прийом всіх видів комунальних платежів від населення</w:t>
            </w:r>
            <w:r w:rsidR="007502CB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:</w:t>
            </w:r>
          </w:p>
        </w:tc>
      </w:tr>
      <w:tr w:rsidR="00C76AD5" w:rsidRPr="00EB60BF" w14:paraId="5B2D7067" w14:textId="77777777" w:rsidTr="009509EF">
        <w:tc>
          <w:tcPr>
            <w:tcW w:w="756" w:type="dxa"/>
            <w:hideMark/>
          </w:tcPr>
          <w:p w14:paraId="42F7661B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2.1.</w:t>
            </w:r>
          </w:p>
        </w:tc>
        <w:tc>
          <w:tcPr>
            <w:tcW w:w="4515" w:type="dxa"/>
            <w:hideMark/>
          </w:tcPr>
          <w:p w14:paraId="2814E470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до 2000,00 грн.</w:t>
            </w:r>
          </w:p>
        </w:tc>
        <w:tc>
          <w:tcPr>
            <w:tcW w:w="5497" w:type="dxa"/>
            <w:hideMark/>
          </w:tcPr>
          <w:p w14:paraId="448C733B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15 грн. за один платіж</w:t>
            </w:r>
          </w:p>
        </w:tc>
      </w:tr>
      <w:tr w:rsidR="00C76AD5" w:rsidRPr="00EB60BF" w14:paraId="7E6A44A1" w14:textId="77777777" w:rsidTr="009509EF">
        <w:tc>
          <w:tcPr>
            <w:tcW w:w="756" w:type="dxa"/>
            <w:hideMark/>
          </w:tcPr>
          <w:p w14:paraId="793E14AD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2.2.</w:t>
            </w:r>
          </w:p>
        </w:tc>
        <w:tc>
          <w:tcPr>
            <w:tcW w:w="4515" w:type="dxa"/>
          </w:tcPr>
          <w:p w14:paraId="336C5FAE" w14:textId="15D534F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від 2000,01 грн.</w:t>
            </w:r>
          </w:p>
        </w:tc>
        <w:tc>
          <w:tcPr>
            <w:tcW w:w="5497" w:type="dxa"/>
            <w:hideMark/>
          </w:tcPr>
          <w:p w14:paraId="5F9F541A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1% від суми платежу</w:t>
            </w:r>
          </w:p>
        </w:tc>
      </w:tr>
      <w:tr w:rsidR="00C76AD5" w:rsidRPr="00EB60BF" w14:paraId="7316C116" w14:textId="77777777" w:rsidTr="009509EF">
        <w:tc>
          <w:tcPr>
            <w:tcW w:w="756" w:type="dxa"/>
            <w:hideMark/>
          </w:tcPr>
          <w:p w14:paraId="4DD7D6DD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3.</w:t>
            </w:r>
          </w:p>
        </w:tc>
        <w:tc>
          <w:tcPr>
            <w:tcW w:w="10012" w:type="dxa"/>
            <w:gridSpan w:val="2"/>
          </w:tcPr>
          <w:p w14:paraId="6C5AB838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Платежі з невірно зазначеними реквізитами отримувачів за виною платника </w:t>
            </w:r>
          </w:p>
          <w:p w14:paraId="6F5A37AC" w14:textId="55B18D63" w:rsidR="00A31380" w:rsidRPr="00EB60BF" w:rsidRDefault="00C76AD5" w:rsidP="00FC1986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(згідно заяви платника):</w:t>
            </w:r>
          </w:p>
        </w:tc>
      </w:tr>
      <w:tr w:rsidR="00C76AD5" w:rsidRPr="00EB60BF" w14:paraId="08623EAE" w14:textId="77777777" w:rsidTr="009509EF">
        <w:tc>
          <w:tcPr>
            <w:tcW w:w="756" w:type="dxa"/>
            <w:hideMark/>
          </w:tcPr>
          <w:p w14:paraId="4AFA4FB8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3.1. </w:t>
            </w:r>
          </w:p>
        </w:tc>
        <w:tc>
          <w:tcPr>
            <w:tcW w:w="4515" w:type="dxa"/>
            <w:hideMark/>
          </w:tcPr>
          <w:p w14:paraId="7FD120E1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Видача платнику поверненого платежу готівкою </w:t>
            </w:r>
          </w:p>
        </w:tc>
        <w:tc>
          <w:tcPr>
            <w:tcW w:w="5497" w:type="dxa"/>
            <w:hideMark/>
          </w:tcPr>
          <w:p w14:paraId="14E74C2E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50,00 грн. за один платіж</w:t>
            </w:r>
          </w:p>
        </w:tc>
      </w:tr>
      <w:tr w:rsidR="00C76AD5" w:rsidRPr="00EB60BF" w14:paraId="7F261C57" w14:textId="77777777" w:rsidTr="009509EF">
        <w:tc>
          <w:tcPr>
            <w:tcW w:w="756" w:type="dxa"/>
            <w:hideMark/>
          </w:tcPr>
          <w:p w14:paraId="3C0B5501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3.2.</w:t>
            </w:r>
          </w:p>
        </w:tc>
        <w:tc>
          <w:tcPr>
            <w:tcW w:w="4515" w:type="dxa"/>
            <w:hideMark/>
          </w:tcPr>
          <w:p w14:paraId="19C8DF42" w14:textId="77777777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Повторний переказ платежу отримувачу </w:t>
            </w:r>
          </w:p>
        </w:tc>
        <w:tc>
          <w:tcPr>
            <w:tcW w:w="5497" w:type="dxa"/>
          </w:tcPr>
          <w:p w14:paraId="4A299CED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40,00 грн. за один платіж</w:t>
            </w:r>
          </w:p>
          <w:p w14:paraId="3976018C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C76AD5" w:rsidRPr="00EB60BF" w14:paraId="319B6C6F" w14:textId="77777777" w:rsidTr="009509EF">
        <w:tc>
          <w:tcPr>
            <w:tcW w:w="756" w:type="dxa"/>
          </w:tcPr>
          <w:p w14:paraId="741A368E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3.3.</w:t>
            </w:r>
          </w:p>
        </w:tc>
        <w:tc>
          <w:tcPr>
            <w:tcW w:w="4515" w:type="dxa"/>
          </w:tcPr>
          <w:p w14:paraId="2CABD6A7" w14:textId="77777777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Направлення банку платника уточнення реквізитів платежу</w:t>
            </w:r>
          </w:p>
        </w:tc>
        <w:tc>
          <w:tcPr>
            <w:tcW w:w="5497" w:type="dxa"/>
          </w:tcPr>
          <w:p w14:paraId="5756A241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50,00 грн. за один платіж</w:t>
            </w:r>
          </w:p>
        </w:tc>
      </w:tr>
      <w:tr w:rsidR="00C76AD5" w:rsidRPr="00EB60BF" w14:paraId="37493CAE" w14:textId="77777777" w:rsidTr="009509EF">
        <w:tc>
          <w:tcPr>
            <w:tcW w:w="756" w:type="dxa"/>
            <w:hideMark/>
          </w:tcPr>
          <w:p w14:paraId="329BA97A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4.</w:t>
            </w:r>
          </w:p>
        </w:tc>
        <w:tc>
          <w:tcPr>
            <w:tcW w:w="10012" w:type="dxa"/>
            <w:gridSpan w:val="2"/>
          </w:tcPr>
          <w:p w14:paraId="547C1548" w14:textId="1789E7D5" w:rsidR="00A31380" w:rsidRPr="00EB60BF" w:rsidRDefault="00C76AD5" w:rsidP="00FC1986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Надання довідок про розрахунково-касове обслуговування  клієнтів, або надання документів, які є документальним підтвердженням переказу коштів, або видача дублікатів касових, розрахункових та інших документів, які зберігаються в архіві:</w:t>
            </w:r>
          </w:p>
        </w:tc>
      </w:tr>
      <w:tr w:rsidR="00C76AD5" w:rsidRPr="00EB60BF" w14:paraId="658AD9FF" w14:textId="77777777" w:rsidTr="009509EF">
        <w:tc>
          <w:tcPr>
            <w:tcW w:w="756" w:type="dxa"/>
            <w:hideMark/>
          </w:tcPr>
          <w:p w14:paraId="0FA9AAAB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4.1.</w:t>
            </w:r>
          </w:p>
        </w:tc>
        <w:tc>
          <w:tcPr>
            <w:tcW w:w="4515" w:type="dxa"/>
            <w:hideMark/>
          </w:tcPr>
          <w:p w14:paraId="7B051239" w14:textId="70ADFFF1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до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1 року від дати обслуговування</w:t>
            </w:r>
          </w:p>
        </w:tc>
        <w:tc>
          <w:tcPr>
            <w:tcW w:w="5497" w:type="dxa"/>
            <w:hideMark/>
          </w:tcPr>
          <w:p w14:paraId="0C990614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100,00 грн. за кожний документ</w:t>
            </w:r>
          </w:p>
        </w:tc>
      </w:tr>
      <w:tr w:rsidR="00C76AD5" w:rsidRPr="00EB60BF" w14:paraId="672A0752" w14:textId="77777777" w:rsidTr="009509EF">
        <w:tc>
          <w:tcPr>
            <w:tcW w:w="756" w:type="dxa"/>
            <w:hideMark/>
          </w:tcPr>
          <w:p w14:paraId="1AD9F656" w14:textId="427DA493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4.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</w:p>
        </w:tc>
        <w:tc>
          <w:tcPr>
            <w:tcW w:w="4515" w:type="dxa"/>
            <w:hideMark/>
          </w:tcPr>
          <w:p w14:paraId="36CC0DE5" w14:textId="77777777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понад 1 рік від дати обслуговування</w:t>
            </w:r>
          </w:p>
          <w:p w14:paraId="4D3DDD10" w14:textId="77777777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5497" w:type="dxa"/>
            <w:hideMark/>
          </w:tcPr>
          <w:p w14:paraId="5956849B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300,00 грн. за кожний документ</w:t>
            </w:r>
          </w:p>
        </w:tc>
      </w:tr>
      <w:tr w:rsidR="00C76AD5" w:rsidRPr="00EB60BF" w14:paraId="21C2FEBD" w14:textId="77777777" w:rsidTr="009509EF">
        <w:tc>
          <w:tcPr>
            <w:tcW w:w="756" w:type="dxa"/>
          </w:tcPr>
          <w:p w14:paraId="5267CCE6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5.</w:t>
            </w:r>
          </w:p>
        </w:tc>
        <w:tc>
          <w:tcPr>
            <w:tcW w:w="4515" w:type="dxa"/>
          </w:tcPr>
          <w:p w14:paraId="732C73E9" w14:textId="77777777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Продаж бланків простих векселів</w:t>
            </w:r>
          </w:p>
        </w:tc>
        <w:tc>
          <w:tcPr>
            <w:tcW w:w="5497" w:type="dxa"/>
          </w:tcPr>
          <w:p w14:paraId="0B67A21E" w14:textId="3325F853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</w:t>
            </w:r>
            <w:r w:rsidR="009509EF"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00</w:t>
            </w: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,00 грн. (в </w:t>
            </w:r>
            <w:proofErr w:type="spellStart"/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т.ч</w:t>
            </w:r>
            <w:proofErr w:type="spellEnd"/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. ПДВ – </w:t>
            </w:r>
            <w:r w:rsidR="009509EF"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16,67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грн.) за 1 бланк </w:t>
            </w:r>
          </w:p>
        </w:tc>
      </w:tr>
      <w:tr w:rsidR="00C76AD5" w:rsidRPr="00EB60BF" w14:paraId="3B867492" w14:textId="77777777" w:rsidTr="009509EF">
        <w:tc>
          <w:tcPr>
            <w:tcW w:w="756" w:type="dxa"/>
          </w:tcPr>
          <w:p w14:paraId="50B36815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</w:t>
            </w:r>
          </w:p>
        </w:tc>
        <w:tc>
          <w:tcPr>
            <w:tcW w:w="10012" w:type="dxa"/>
            <w:gridSpan w:val="2"/>
          </w:tcPr>
          <w:p w14:paraId="0DACDC27" w14:textId="208F9A31" w:rsidR="00A31380" w:rsidRPr="00EB60BF" w:rsidRDefault="00C76AD5" w:rsidP="00FC1986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Операції з банкнотами (монетами)</w:t>
            </w:r>
          </w:p>
        </w:tc>
      </w:tr>
      <w:tr w:rsidR="00C76AD5" w:rsidRPr="00EB60BF" w14:paraId="029CE148" w14:textId="77777777" w:rsidTr="009509EF">
        <w:tc>
          <w:tcPr>
            <w:tcW w:w="756" w:type="dxa"/>
          </w:tcPr>
          <w:p w14:paraId="3032EBEB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6.1.</w:t>
            </w:r>
          </w:p>
        </w:tc>
        <w:tc>
          <w:tcPr>
            <w:tcW w:w="4515" w:type="dxa"/>
          </w:tcPr>
          <w:p w14:paraId="2C9158E9" w14:textId="77777777" w:rsidR="00C76AD5" w:rsidRPr="00EB60BF" w:rsidRDefault="00C76AD5" w:rsidP="00C76AD5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Обмін непридатних для обігу банкнот (монет) одного номіналу на банкноти (монети) іншого номіналу</w:t>
            </w:r>
          </w:p>
        </w:tc>
        <w:tc>
          <w:tcPr>
            <w:tcW w:w="5497" w:type="dxa"/>
          </w:tcPr>
          <w:p w14:paraId="5F0CA182" w14:textId="77777777" w:rsidR="00C76AD5" w:rsidRPr="00EB60BF" w:rsidRDefault="00C76AD5" w:rsidP="00C76AD5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Не тарифікується</w:t>
            </w:r>
          </w:p>
        </w:tc>
      </w:tr>
      <w:tr w:rsidR="00F331FF" w:rsidRPr="00EB60BF" w14:paraId="027DE5C9" w14:textId="77777777" w:rsidTr="009509E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D98" w14:textId="77777777" w:rsidR="00F331FF" w:rsidRPr="00EB60B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6.2.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108" w14:textId="77777777" w:rsidR="00F331FF" w:rsidRPr="00EB60BF" w:rsidRDefault="00F331FF" w:rsidP="00F331F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Обмін банкнот національної валюти на монети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4DA" w14:textId="77777777" w:rsidR="00F331FF" w:rsidRPr="00F331F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331F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0,5% від суми мін. 100 грн. </w:t>
            </w:r>
          </w:p>
          <w:p w14:paraId="74E14E18" w14:textId="7B7C4845" w:rsidR="00F331FF" w:rsidRPr="00EB60B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F331FF" w:rsidRPr="00EB60BF" w14:paraId="25DD76DB" w14:textId="77777777" w:rsidTr="009509E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543" w14:textId="77777777" w:rsidR="00F331FF" w:rsidRPr="00EB60B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6.3.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963" w14:textId="77777777" w:rsidR="00F331FF" w:rsidRPr="00EB60BF" w:rsidRDefault="00F331FF" w:rsidP="00F331F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Обмін монет національної валюти на банкноти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C3F" w14:textId="77777777" w:rsidR="00F331FF" w:rsidRPr="00F331F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331F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0,5% від суми мін. 100 грн. </w:t>
            </w:r>
          </w:p>
          <w:p w14:paraId="1DB78E5E" w14:textId="55A8BDB7" w:rsidR="00F331FF" w:rsidRPr="00EB60B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F331FF" w:rsidRPr="00EB60BF" w14:paraId="481C1821" w14:textId="77777777" w:rsidTr="009509E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6B5" w14:textId="77777777" w:rsidR="00F331FF" w:rsidRPr="00EB60B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6.4.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B9C" w14:textId="77777777" w:rsidR="00F331FF" w:rsidRPr="00EB60BF" w:rsidRDefault="00F331FF" w:rsidP="00F331F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Обмін банкнот національної валюти номіналом 1, 2, 5 грн. на банкноти більшого номіналу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BE" w14:textId="77777777" w:rsidR="00F331FF" w:rsidRPr="00F331F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331F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0,5% від суми мін. 100 грн. </w:t>
            </w:r>
          </w:p>
          <w:p w14:paraId="664D8CB6" w14:textId="4AAE13C3" w:rsidR="00F331FF" w:rsidRPr="00EB60BF" w:rsidRDefault="00F331FF" w:rsidP="00F331F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9509EF" w:rsidRPr="00EB60BF" w14:paraId="6EEBC754" w14:textId="77777777" w:rsidTr="009509E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70C" w14:textId="77777777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6.5.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820" w14:textId="37754C49" w:rsidR="009509EF" w:rsidRPr="00EB60B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Визначення справжності банкнот іноземної валюти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BB4" w14:textId="4FE1E346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0,5% від суми мін.100,00 грн.</w:t>
            </w:r>
          </w:p>
        </w:tc>
      </w:tr>
      <w:tr w:rsidR="009509EF" w:rsidRPr="00EB60BF" w14:paraId="2686224A" w14:textId="77777777" w:rsidTr="00C63F9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D188" w14:textId="22021D76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lastRenderedPageBreak/>
              <w:t>6.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3D86" w14:textId="4342E0AE" w:rsidR="009509EF" w:rsidRPr="00EB60B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Визначення справжності та </w:t>
            </w:r>
            <w:proofErr w:type="spellStart"/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платіжності</w:t>
            </w:r>
            <w:proofErr w:type="spellEnd"/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банкнот (монет) національної валюти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5D4" w14:textId="0BF577E9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0,5% від суми мін.100,00 грн.</w:t>
            </w:r>
          </w:p>
        </w:tc>
      </w:tr>
      <w:tr w:rsidR="009509EF" w:rsidRPr="00EB60BF" w14:paraId="53976944" w14:textId="77777777" w:rsidTr="00C63F9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66C" w14:textId="5D9082D6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7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FEE" w14:textId="72788B28" w:rsidR="009509EF" w:rsidRPr="00EB60B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Перераховування банкнот іноземної валюти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927F" w14:textId="1AB21780" w:rsidR="009509EF" w:rsidRPr="009509E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0,5% від суми мін.100,00 грн.            </w:t>
            </w:r>
          </w:p>
          <w:p w14:paraId="5404B4C2" w14:textId="159DF618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(в </w:t>
            </w:r>
            <w:proofErr w:type="spellStart"/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т.ч</w:t>
            </w:r>
            <w:proofErr w:type="spellEnd"/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 ПДВ 20%)</w:t>
            </w:r>
          </w:p>
        </w:tc>
      </w:tr>
      <w:tr w:rsidR="009509EF" w:rsidRPr="00EB60BF" w14:paraId="2A0B5D72" w14:textId="77777777" w:rsidTr="00C63F9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A08" w14:textId="4E7540DF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8</w:t>
            </w:r>
            <w:r w:rsidRPr="00EB60B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711" w14:textId="7EB23D66" w:rsidR="009509EF" w:rsidRPr="00EB60B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Перераховування банкнот (монет) національної валюти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8DA" w14:textId="3B451EB0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0,5% від суми мін.100,00 грн.</w:t>
            </w:r>
          </w:p>
        </w:tc>
      </w:tr>
      <w:tr w:rsidR="009509EF" w:rsidRPr="00A31380" w14:paraId="074BD333" w14:textId="77777777" w:rsidTr="00C63F9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0EB" w14:textId="135FBB6E" w:rsidR="009509EF" w:rsidRPr="00EB60BF" w:rsidRDefault="009509EF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bookmarkStart w:id="1" w:name="_Hlk218870171"/>
            <w:r w:rsidRPr="00A3138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6.9.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76E" w14:textId="0298E829" w:rsidR="009509EF" w:rsidRPr="00EB60BF" w:rsidRDefault="009509EF" w:rsidP="009509EF">
            <w:pPr>
              <w:tabs>
                <w:tab w:val="left" w:pos="7513"/>
              </w:tabs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Обмін зношених банкнот іноземної валюти*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7B8E" w14:textId="2684054B" w:rsidR="009509EF" w:rsidRPr="006D5B49" w:rsidRDefault="00ED62D4" w:rsidP="009509EF">
            <w:pPr>
              <w:tabs>
                <w:tab w:val="left" w:pos="7513"/>
              </w:tabs>
              <w:jc w:val="both"/>
              <w:outlineLvl w:val="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650A7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1</w:t>
            </w:r>
            <w:r w:rsidRPr="00650A7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rPrChange w:id="2" w:author="Бюргер Наталія Анатоліївна" w:date="2026-02-02T14:33:00Z" w16du:dateUtc="2026-02-02T12:33:00Z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5</w:t>
            </w:r>
            <w:r w:rsidR="009509EF" w:rsidRPr="00650A7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% від</w:t>
            </w:r>
            <w:r w:rsidR="009509EF"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суми (мінімум 5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</w:t>
            </w:r>
            <w:r w:rsidR="009509EF"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0 грн</w:t>
            </w:r>
            <w:r w:rsid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  <w:r w:rsidR="009509EF"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)</w:t>
            </w:r>
            <w:r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*</w:t>
            </w:r>
            <w:r w:rsidR="0036575F" w:rsidRPr="009509E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*</w:t>
            </w:r>
          </w:p>
        </w:tc>
      </w:tr>
      <w:bookmarkEnd w:id="1"/>
    </w:tbl>
    <w:p w14:paraId="428861CE" w14:textId="77777777" w:rsidR="001D79BF" w:rsidRPr="00A31380" w:rsidRDefault="001D79BF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0E388D73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06711A73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5BA0AA16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3B1E3D51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53FCF916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524E9B54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062D6299" w14:textId="77777777" w:rsidR="00A31380" w:rsidRPr="00A31380" w:rsidRDefault="00A31380" w:rsidP="00EB60BF">
      <w:pPr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6269195D" w14:textId="77777777" w:rsidR="00FC1986" w:rsidRDefault="00FC1986" w:rsidP="00A31380">
      <w:pPr>
        <w:ind w:left="993" w:right="566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0106DD0A" w14:textId="732F7801" w:rsidR="0036575F" w:rsidRDefault="0036575F" w:rsidP="00A31380">
      <w:pPr>
        <w:ind w:left="993" w:right="566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14:paraId="64725467" w14:textId="7A5B628E" w:rsidR="00A31380" w:rsidRPr="00650A7A" w:rsidRDefault="0036575F" w:rsidP="00A31380">
      <w:pPr>
        <w:ind w:left="993" w:right="566"/>
        <w:jc w:val="both"/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</w:pPr>
      <w:bookmarkStart w:id="3" w:name="_Hlk218870220"/>
      <w:r>
        <w:rPr>
          <w:rStyle w:val="a4"/>
          <w:rFonts w:ascii="Times New Roman" w:hAnsi="Times New Roman" w:cs="Times New Roman"/>
          <w:sz w:val="24"/>
          <w:szCs w:val="24"/>
          <w:u w:val="none"/>
        </w:rPr>
        <w:t>* Обмінюємо на платоспроможн</w:t>
      </w:r>
      <w:r w:rsidR="00C44DC8">
        <w:rPr>
          <w:rStyle w:val="a4"/>
          <w:rFonts w:ascii="Times New Roman" w:hAnsi="Times New Roman" w:cs="Times New Roman"/>
          <w:sz w:val="24"/>
          <w:szCs w:val="24"/>
          <w:u w:val="none"/>
        </w:rPr>
        <w:t>і</w:t>
      </w:r>
      <w:r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31380"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>в</w:t>
      </w:r>
      <w:r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касі</w:t>
      </w:r>
      <w:r w:rsidR="00A31380"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Київсько</w:t>
      </w:r>
      <w:r>
        <w:rPr>
          <w:rStyle w:val="a4"/>
          <w:rFonts w:ascii="Times New Roman" w:hAnsi="Times New Roman" w:cs="Times New Roman"/>
          <w:sz w:val="24"/>
          <w:szCs w:val="24"/>
          <w:u w:val="none"/>
        </w:rPr>
        <w:t>го</w:t>
      </w:r>
      <w:r w:rsidR="00A31380"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відділенн</w:t>
      </w:r>
      <w:r>
        <w:rPr>
          <w:rStyle w:val="a4"/>
          <w:rFonts w:ascii="Times New Roman" w:hAnsi="Times New Roman" w:cs="Times New Roman"/>
          <w:sz w:val="24"/>
          <w:szCs w:val="24"/>
          <w:u w:val="none"/>
        </w:rPr>
        <w:t>я</w:t>
      </w:r>
      <w:r w:rsidR="00A31380"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№1 </w:t>
      </w:r>
      <w:r>
        <w:rPr>
          <w:rStyle w:val="a4"/>
          <w:rFonts w:ascii="Times New Roman" w:hAnsi="Times New Roman" w:cs="Times New Roman"/>
          <w:sz w:val="24"/>
          <w:szCs w:val="24"/>
          <w:u w:val="none"/>
        </w:rPr>
        <w:t>банкноти іноземної валюти</w:t>
      </w:r>
      <w:r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 xml:space="preserve">, які </w:t>
      </w:r>
      <w:r w:rsidR="003B73A7"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 xml:space="preserve">не викликають сумніву щодо справжності та </w:t>
      </w:r>
      <w:r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 xml:space="preserve">під час обігу набули </w:t>
      </w:r>
      <w:r w:rsidR="00C92BAB"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 xml:space="preserve">одну або кілька ознак </w:t>
      </w:r>
      <w:r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>зношення</w:t>
      </w:r>
      <w:r w:rsidR="004518BE"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>/пошкодження</w:t>
      </w:r>
      <w:r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 xml:space="preserve"> </w:t>
      </w:r>
      <w:r w:rsidR="00A31380" w:rsidRPr="00650A7A">
        <w:rPr>
          <w:rStyle w:val="a4"/>
          <w:rFonts w:ascii="Times New Roman" w:hAnsi="Times New Roman" w:cs="Times New Roman"/>
          <w:color w:val="0070C0"/>
          <w:sz w:val="24"/>
          <w:szCs w:val="24"/>
          <w:u w:val="none"/>
        </w:rPr>
        <w:t>за наступними критеріями:</w:t>
      </w:r>
    </w:p>
    <w:p w14:paraId="557E0FB0" w14:textId="77777777" w:rsidR="00A31380" w:rsidRPr="00650A7A" w:rsidRDefault="00A31380" w:rsidP="00650A7A">
      <w:pPr>
        <w:pStyle w:val="ac"/>
        <w:numPr>
          <w:ilvl w:val="3"/>
          <w:numId w:val="4"/>
        </w:numPr>
        <w:spacing w:after="120"/>
        <w:ind w:left="1380" w:right="567"/>
        <w:rPr>
          <w:rStyle w:val="a4"/>
          <w:rFonts w:eastAsiaTheme="minorEastAsia"/>
          <w:color w:val="0070C0"/>
          <w:kern w:val="2"/>
          <w:u w:val="none"/>
          <w:lang w:val="ru-UA" w:eastAsia="ru-UA"/>
          <w14:ligatures w14:val="standardContextual"/>
        </w:rPr>
      </w:pPr>
      <w:r w:rsidRPr="00650A7A">
        <w:rPr>
          <w:rStyle w:val="a4"/>
          <w:color w:val="0070C0"/>
          <w:u w:val="none"/>
        </w:rPr>
        <w:t xml:space="preserve">зі зміненим первісним кольором паперу та/або зображень; </w:t>
      </w:r>
    </w:p>
    <w:p w14:paraId="602CB791" w14:textId="2D097965" w:rsidR="00A31380" w:rsidRPr="00650A7A" w:rsidRDefault="00A31380" w:rsidP="00650A7A">
      <w:pPr>
        <w:pStyle w:val="ac"/>
        <w:numPr>
          <w:ilvl w:val="0"/>
          <w:numId w:val="4"/>
        </w:numPr>
        <w:spacing w:after="120"/>
        <w:ind w:left="1380" w:right="567"/>
        <w:rPr>
          <w:rStyle w:val="a4"/>
          <w:rFonts w:eastAsiaTheme="minorEastAsia"/>
          <w:color w:val="0070C0"/>
          <w:kern w:val="2"/>
          <w:u w:val="none"/>
          <w:lang w:val="ru-UA" w:eastAsia="ru-UA"/>
          <w14:ligatures w14:val="standardContextual"/>
        </w:rPr>
      </w:pPr>
      <w:r w:rsidRPr="00650A7A">
        <w:rPr>
          <w:rStyle w:val="a4"/>
          <w:color w:val="0070C0"/>
          <w:u w:val="none"/>
        </w:rPr>
        <w:t xml:space="preserve">із локальними забрудненнями (плямами), включаючи видимі в ультрафіолетових променях, загальна площа яких </w:t>
      </w:r>
      <w:r w:rsidR="00C92BAB" w:rsidRPr="00650A7A">
        <w:rPr>
          <w:rStyle w:val="a4"/>
          <w:color w:val="0070C0"/>
          <w:u w:val="none"/>
        </w:rPr>
        <w:t xml:space="preserve">не </w:t>
      </w:r>
      <w:r w:rsidRPr="00650A7A">
        <w:rPr>
          <w:rStyle w:val="a4"/>
          <w:color w:val="0070C0"/>
          <w:u w:val="none"/>
        </w:rPr>
        <w:t>перевищує половину площі банкноти;</w:t>
      </w:r>
    </w:p>
    <w:p w14:paraId="5F30E47B" w14:textId="5EF55B8E" w:rsidR="00C92BAB" w:rsidRPr="00650A7A" w:rsidRDefault="00C92BAB" w:rsidP="00650A7A">
      <w:pPr>
        <w:pStyle w:val="ac"/>
        <w:numPr>
          <w:ilvl w:val="0"/>
          <w:numId w:val="4"/>
        </w:numPr>
        <w:spacing w:after="120"/>
        <w:ind w:left="1380" w:right="567"/>
        <w:rPr>
          <w:rStyle w:val="a4"/>
          <w:color w:val="0070C0"/>
          <w:u w:val="none"/>
        </w:rPr>
      </w:pPr>
      <w:r w:rsidRPr="00650A7A">
        <w:rPr>
          <w:color w:val="0070C0"/>
        </w:rPr>
        <w:t xml:space="preserve">відбитки штампів/печаток, написи, уключаючи видимі в ультрафіолетових променях, загальна площа яких </w:t>
      </w:r>
      <w:r w:rsidR="009376BB" w:rsidRPr="00650A7A">
        <w:rPr>
          <w:color w:val="0070C0"/>
        </w:rPr>
        <w:t xml:space="preserve">не </w:t>
      </w:r>
      <w:r w:rsidRPr="00650A7A">
        <w:rPr>
          <w:color w:val="0070C0"/>
        </w:rPr>
        <w:t xml:space="preserve">перевищує </w:t>
      </w:r>
      <w:r w:rsidR="009376BB" w:rsidRPr="00650A7A">
        <w:rPr>
          <w:color w:val="0070C0"/>
        </w:rPr>
        <w:t>5</w:t>
      </w:r>
      <w:r w:rsidRPr="00650A7A">
        <w:rPr>
          <w:color w:val="0070C0"/>
        </w:rPr>
        <w:t>00 мм</w:t>
      </w:r>
      <w:r w:rsidRPr="00650A7A">
        <w:rPr>
          <w:b/>
          <w:bCs/>
          <w:color w:val="0070C0"/>
          <w:vertAlign w:val="superscript"/>
        </w:rPr>
        <w:t>2</w:t>
      </w:r>
      <w:r w:rsidRPr="00650A7A">
        <w:rPr>
          <w:color w:val="0070C0"/>
        </w:rPr>
        <w:t>.</w:t>
      </w:r>
    </w:p>
    <w:p w14:paraId="2E8B0D58" w14:textId="41CD8298" w:rsidR="00A31380" w:rsidRPr="00650A7A" w:rsidRDefault="00A31380" w:rsidP="00650A7A">
      <w:pPr>
        <w:pStyle w:val="ac"/>
        <w:numPr>
          <w:ilvl w:val="0"/>
          <w:numId w:val="4"/>
        </w:numPr>
        <w:spacing w:after="120"/>
        <w:ind w:left="1380" w:right="567"/>
        <w:rPr>
          <w:rStyle w:val="a4"/>
          <w:color w:val="0070C0"/>
          <w:u w:val="none"/>
        </w:rPr>
      </w:pPr>
      <w:r w:rsidRPr="00650A7A">
        <w:rPr>
          <w:rStyle w:val="a4"/>
          <w:color w:val="0070C0"/>
          <w:u w:val="none"/>
        </w:rPr>
        <w:t>із загальними забрудненнями, включаючи ті, що спричиняють люмінесценцію паперу в ультрафіолетових променях</w:t>
      </w:r>
      <w:r w:rsidR="009376BB" w:rsidRPr="00650A7A">
        <w:rPr>
          <w:rStyle w:val="a4"/>
          <w:color w:val="0070C0"/>
          <w:u w:val="none"/>
        </w:rPr>
        <w:t>, загальна площа яких не перевищує половину площі банкноти</w:t>
      </w:r>
      <w:r w:rsidRPr="00650A7A">
        <w:rPr>
          <w:rStyle w:val="a4"/>
          <w:color w:val="0070C0"/>
          <w:u w:val="none"/>
        </w:rPr>
        <w:t xml:space="preserve">; </w:t>
      </w:r>
    </w:p>
    <w:p w14:paraId="55BC3E4C" w14:textId="1CE0B62D" w:rsidR="009376BB" w:rsidRPr="00650A7A" w:rsidRDefault="00A31380" w:rsidP="00C92BAB">
      <w:pPr>
        <w:pStyle w:val="ac"/>
        <w:numPr>
          <w:ilvl w:val="0"/>
          <w:numId w:val="4"/>
        </w:numPr>
        <w:spacing w:after="120"/>
        <w:ind w:left="1380" w:right="567"/>
        <w:rPr>
          <w:rStyle w:val="a4"/>
          <w:color w:val="0070C0"/>
          <w:u w:val="none"/>
        </w:rPr>
      </w:pPr>
      <w:r w:rsidRPr="00650A7A">
        <w:rPr>
          <w:rStyle w:val="a4"/>
          <w:color w:val="0070C0"/>
          <w:u w:val="none"/>
        </w:rPr>
        <w:t xml:space="preserve">мають явні </w:t>
      </w:r>
      <w:r w:rsidR="00C44DC8" w:rsidRPr="00650A7A">
        <w:rPr>
          <w:rStyle w:val="a4"/>
          <w:color w:val="0070C0"/>
          <w:u w:val="none"/>
        </w:rPr>
        <w:t xml:space="preserve">незначні </w:t>
      </w:r>
      <w:r w:rsidRPr="00650A7A">
        <w:rPr>
          <w:rStyle w:val="a4"/>
          <w:color w:val="0070C0"/>
          <w:u w:val="none"/>
        </w:rPr>
        <w:t>друкарські недоліки</w:t>
      </w:r>
      <w:r w:rsidR="009376BB" w:rsidRPr="00650A7A">
        <w:rPr>
          <w:rStyle w:val="a4"/>
          <w:color w:val="0070C0"/>
          <w:u w:val="none"/>
        </w:rPr>
        <w:t>;</w:t>
      </w:r>
    </w:p>
    <w:p w14:paraId="277B415D" w14:textId="678B4FEC" w:rsidR="009376BB" w:rsidRPr="00650A7A" w:rsidRDefault="009376BB" w:rsidP="00C92BAB">
      <w:pPr>
        <w:pStyle w:val="ac"/>
        <w:numPr>
          <w:ilvl w:val="0"/>
          <w:numId w:val="4"/>
        </w:numPr>
        <w:spacing w:after="120"/>
        <w:ind w:left="1380" w:right="567"/>
        <w:rPr>
          <w:color w:val="0070C0"/>
        </w:rPr>
      </w:pPr>
      <w:r w:rsidRPr="00650A7A">
        <w:rPr>
          <w:color w:val="0070C0"/>
        </w:rPr>
        <w:t>надриви або надрізи, загальна кількість яких не перевищує т</w:t>
      </w:r>
      <w:r w:rsidR="00F12D5B" w:rsidRPr="00650A7A">
        <w:rPr>
          <w:color w:val="0070C0"/>
        </w:rPr>
        <w:t>р</w:t>
      </w:r>
      <w:r w:rsidRPr="00650A7A">
        <w:rPr>
          <w:color w:val="0070C0"/>
        </w:rPr>
        <w:t xml:space="preserve">ьох штук довжиною до </w:t>
      </w:r>
      <w:r w:rsidR="00F12D5B" w:rsidRPr="00650A7A">
        <w:rPr>
          <w:color w:val="0070C0"/>
        </w:rPr>
        <w:t>5</w:t>
      </w:r>
      <w:r w:rsidRPr="00650A7A">
        <w:rPr>
          <w:color w:val="0070C0"/>
        </w:rPr>
        <w:t xml:space="preserve"> мм кожний;</w:t>
      </w:r>
    </w:p>
    <w:p w14:paraId="278BB061" w14:textId="6DF2535B" w:rsidR="00A31380" w:rsidRPr="00650A7A" w:rsidRDefault="009376BB" w:rsidP="00650A7A">
      <w:pPr>
        <w:pStyle w:val="ac"/>
        <w:numPr>
          <w:ilvl w:val="0"/>
          <w:numId w:val="4"/>
        </w:numPr>
        <w:spacing w:after="120"/>
        <w:ind w:left="1380" w:right="567"/>
        <w:rPr>
          <w:rStyle w:val="a4"/>
          <w:color w:val="0070C0"/>
          <w:u w:val="none"/>
        </w:rPr>
      </w:pPr>
      <w:r w:rsidRPr="00650A7A">
        <w:rPr>
          <w:color w:val="0070C0"/>
        </w:rPr>
        <w:t xml:space="preserve">отвори та проколи, загальна кількість яких не перевищує </w:t>
      </w:r>
      <w:r w:rsidR="00461FC7" w:rsidRPr="00650A7A">
        <w:rPr>
          <w:color w:val="0070C0"/>
        </w:rPr>
        <w:t>п</w:t>
      </w:r>
      <w:r w:rsidR="00461FC7" w:rsidRPr="00650A7A">
        <w:rPr>
          <w:color w:val="0070C0"/>
          <w:lang w:val="ru-RU"/>
        </w:rPr>
        <w:t>`</w:t>
      </w:r>
      <w:proofErr w:type="spellStart"/>
      <w:r w:rsidR="00461FC7" w:rsidRPr="00650A7A">
        <w:rPr>
          <w:color w:val="0070C0"/>
        </w:rPr>
        <w:t>я</w:t>
      </w:r>
      <w:r w:rsidRPr="00650A7A">
        <w:rPr>
          <w:color w:val="0070C0"/>
        </w:rPr>
        <w:t>тьох</w:t>
      </w:r>
      <w:proofErr w:type="spellEnd"/>
      <w:r w:rsidRPr="00650A7A">
        <w:rPr>
          <w:color w:val="0070C0"/>
        </w:rPr>
        <w:t xml:space="preserve"> штук діаметром не більше 1 мм кожний</w:t>
      </w:r>
      <w:r w:rsidR="00A31380" w:rsidRPr="00650A7A">
        <w:rPr>
          <w:rStyle w:val="a4"/>
          <w:color w:val="0070C0"/>
          <w:u w:val="none"/>
        </w:rPr>
        <w:t>.</w:t>
      </w:r>
    </w:p>
    <w:bookmarkEnd w:id="3"/>
    <w:p w14:paraId="34FA30B0" w14:textId="46B90342" w:rsidR="00A31380" w:rsidRPr="00650A7A" w:rsidRDefault="00A31380" w:rsidP="00A31380">
      <w:pPr>
        <w:spacing w:after="120"/>
        <w:ind w:left="993" w:right="566"/>
        <w:jc w:val="both"/>
        <w:rPr>
          <w:rStyle w:val="a4"/>
          <w:rFonts w:ascii="Times New Roman" w:hAnsi="Times New Roman" w:cs="Times New Roman"/>
          <w:sz w:val="24"/>
          <w:szCs w:val="24"/>
          <w:u w:val="none"/>
          <w:lang w:val="ru-RU"/>
        </w:rPr>
      </w:pPr>
      <w:r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  </w:t>
      </w:r>
    </w:p>
    <w:p w14:paraId="72F61D76" w14:textId="3E763EAC" w:rsidR="0036575F" w:rsidRPr="00A31380" w:rsidRDefault="00A31380" w:rsidP="00650A7A">
      <w:pPr>
        <w:spacing w:after="120"/>
        <w:ind w:left="993" w:right="566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A31380">
        <w:rPr>
          <w:rStyle w:val="a4"/>
          <w:rFonts w:ascii="Times New Roman" w:hAnsi="Times New Roman" w:cs="Times New Roman"/>
          <w:b/>
          <w:bCs/>
          <w:sz w:val="24"/>
          <w:szCs w:val="24"/>
          <w:u w:val="none"/>
        </w:rPr>
        <w:t> </w:t>
      </w:r>
    </w:p>
    <w:p w14:paraId="7A7490E3" w14:textId="77777777" w:rsidR="0036575F" w:rsidRPr="0036575F" w:rsidRDefault="0036575F" w:rsidP="0036575F">
      <w:pPr>
        <w:ind w:left="993" w:right="566"/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bookmarkStart w:id="4" w:name="_Hlk218870233"/>
      <w:r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** </w:t>
      </w:r>
      <w:r w:rsidRPr="0036575F">
        <w:rPr>
          <w:rFonts w:ascii="Times New Roman" w:hAnsi="Times New Roman" w:cs="Times New Roman"/>
          <w:color w:val="0563C1" w:themeColor="hyperlink"/>
          <w:sz w:val="24"/>
          <w:szCs w:val="24"/>
        </w:rPr>
        <w:t>Комісії, розмір яких визначено в національній валюті, сплачуються в національній валюті. Комісії, розмір яких визначено в іноземній валюті, сплачуються в гривневому еквіваленті за курсом НБУ, що діє на момент проведення операції.</w:t>
      </w:r>
      <w:bookmarkEnd w:id="4"/>
    </w:p>
    <w:p w14:paraId="338FEC24" w14:textId="64E75C3C" w:rsidR="0036575F" w:rsidRDefault="00A31380" w:rsidP="00A31380">
      <w:pPr>
        <w:ind w:left="993" w:right="566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  </w:t>
      </w:r>
    </w:p>
    <w:p w14:paraId="73A269B7" w14:textId="75074932" w:rsidR="00A31380" w:rsidRPr="00A31380" w:rsidRDefault="00A31380" w:rsidP="00A31380">
      <w:pPr>
        <w:ind w:left="993" w:right="566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A31380">
        <w:rPr>
          <w:rStyle w:val="a4"/>
          <w:rFonts w:ascii="Times New Roman" w:hAnsi="Times New Roman" w:cs="Times New Roman"/>
          <w:sz w:val="24"/>
          <w:szCs w:val="24"/>
          <w:u w:val="none"/>
        </w:rPr>
        <w:t>Операції здійснюються відповідно до вимог постанов Правління Національного банку України: від 25 вересня 2018 року № 103 (зі змінами) «Про затвердження Інструкції про порядок організації касової роботи банками та проведення платіжних операцій надавачами платіжних послуг в Україні», від 20 червня 2023 року № 75 "Про внесення змін до Положення про структуру валютного ринку України, умови та порядок торгівлі іноземною валютою та банківськими металами на валютному ринку України".</w:t>
      </w:r>
    </w:p>
    <w:sectPr w:rsidR="00A31380" w:rsidRPr="00A31380" w:rsidSect="00B637AD">
      <w:headerReference w:type="default" r:id="rId8"/>
      <w:footerReference w:type="default" r:id="rId9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0B0C" w14:textId="77777777" w:rsidR="0061291A" w:rsidRDefault="0061291A" w:rsidP="00A31380">
      <w:r>
        <w:separator/>
      </w:r>
    </w:p>
  </w:endnote>
  <w:endnote w:type="continuationSeparator" w:id="0">
    <w:p w14:paraId="2D994C3F" w14:textId="77777777" w:rsidR="0061291A" w:rsidRDefault="0061291A" w:rsidP="00A3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773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5"/>
      <w:gridCol w:w="2126"/>
      <w:gridCol w:w="4682"/>
    </w:tblGrid>
    <w:tr w:rsidR="00A31380" w14:paraId="040040D6" w14:textId="77777777" w:rsidTr="00FC1986">
      <w:tc>
        <w:tcPr>
          <w:tcW w:w="3965" w:type="dxa"/>
        </w:tcPr>
        <w:p w14:paraId="7D67FCFF" w14:textId="6BF04A2D" w:rsidR="00A31380" w:rsidRPr="00A31380" w:rsidRDefault="00A31380" w:rsidP="00A31380">
          <w:pPr>
            <w:pStyle w:val="aa"/>
          </w:pPr>
          <w:r w:rsidRPr="001D79BF">
            <w:rPr>
              <w:noProof/>
              <w:lang w:val="ru-RU"/>
            </w:rPr>
            <w:drawing>
              <wp:inline distT="0" distB="0" distL="0" distR="0" wp14:anchorId="7638A90E" wp14:editId="76BA80E8">
                <wp:extent cx="1685925" cy="911959"/>
                <wp:effectExtent l="0" t="0" r="0" b="2540"/>
                <wp:docPr id="1329952889" name="Рисунок 1329952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928" cy="934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1961BBCC" w14:textId="77777777" w:rsidR="00A31380" w:rsidRDefault="00A31380">
          <w:pPr>
            <w:pStyle w:val="aa"/>
          </w:pPr>
        </w:p>
      </w:tc>
      <w:tc>
        <w:tcPr>
          <w:tcW w:w="4682" w:type="dxa"/>
        </w:tcPr>
        <w:p w14:paraId="39782DDF" w14:textId="77777777" w:rsidR="00A31380" w:rsidRDefault="00A31380" w:rsidP="00A31380">
          <w:pPr>
            <w:ind w:left="1445" w:right="182" w:hanging="1445"/>
            <w:rPr>
              <w:b/>
              <w:bCs/>
              <w:sz w:val="25"/>
              <w:szCs w:val="25"/>
            </w:rPr>
          </w:pPr>
        </w:p>
        <w:p w14:paraId="79F00985" w14:textId="241278B0" w:rsidR="00A31380" w:rsidRDefault="00A31380" w:rsidP="00A31380">
          <w:pPr>
            <w:ind w:left="1445" w:right="182" w:hanging="1445"/>
            <w:rPr>
              <w:b/>
              <w:bCs/>
              <w:color w:val="00B0F0"/>
              <w:sz w:val="25"/>
              <w:szCs w:val="25"/>
            </w:rPr>
          </w:pPr>
          <w:hyperlink r:id="rId2" w:history="1">
            <w:r w:rsidRPr="00EF6FEB">
              <w:rPr>
                <w:rStyle w:val="a4"/>
                <w:b/>
                <w:bCs/>
                <w:sz w:val="25"/>
                <w:szCs w:val="25"/>
              </w:rPr>
              <w:t>www.sky.bank</w:t>
            </w:r>
          </w:hyperlink>
          <w:r w:rsidRPr="001D79BF">
            <w:rPr>
              <w:b/>
              <w:bCs/>
              <w:color w:val="00B0F0"/>
              <w:sz w:val="25"/>
              <w:szCs w:val="25"/>
            </w:rPr>
            <w:t xml:space="preserve"> </w:t>
          </w:r>
        </w:p>
        <w:p w14:paraId="08AA2656" w14:textId="77777777" w:rsidR="00A31380" w:rsidRDefault="00A31380" w:rsidP="00A31380">
          <w:pPr>
            <w:ind w:left="1445" w:right="182" w:hanging="1445"/>
            <w:rPr>
              <w:color w:val="00B0F0"/>
              <w:sz w:val="14"/>
              <w:szCs w:val="14"/>
            </w:rPr>
          </w:pPr>
          <w:r w:rsidRPr="001D79BF">
            <w:rPr>
              <w:b/>
              <w:bCs/>
              <w:color w:val="00B0F0"/>
              <w:sz w:val="25"/>
              <w:szCs w:val="25"/>
            </w:rPr>
            <w:t>0 800 503</w:t>
          </w:r>
          <w:r>
            <w:rPr>
              <w:b/>
              <w:bCs/>
              <w:color w:val="00B0F0"/>
              <w:sz w:val="25"/>
              <w:szCs w:val="25"/>
            </w:rPr>
            <w:t> </w:t>
          </w:r>
          <w:r w:rsidRPr="001D79BF">
            <w:rPr>
              <w:b/>
              <w:bCs/>
              <w:color w:val="00B0F0"/>
              <w:sz w:val="25"/>
              <w:szCs w:val="25"/>
            </w:rPr>
            <w:t xml:space="preserve">444 </w:t>
          </w:r>
          <w:r w:rsidRPr="001D79BF">
            <w:rPr>
              <w:color w:val="00B0F0"/>
              <w:sz w:val="14"/>
              <w:szCs w:val="14"/>
            </w:rPr>
            <w:t xml:space="preserve">(безкоштовні дзвінки в межах України) </w:t>
          </w:r>
        </w:p>
        <w:p w14:paraId="556E5002" w14:textId="028D5DD4" w:rsidR="00A31380" w:rsidRDefault="00A31380" w:rsidP="00A31380">
          <w:pPr>
            <w:pStyle w:val="aa"/>
          </w:pPr>
          <w:r w:rsidRPr="001D79BF">
            <w:rPr>
              <w:color w:val="00B0F0"/>
              <w:sz w:val="14"/>
              <w:szCs w:val="14"/>
            </w:rPr>
            <w:t>Ліцензія НБУ №32 від 19.06.2018 р.</w:t>
          </w:r>
        </w:p>
      </w:tc>
    </w:tr>
  </w:tbl>
  <w:p w14:paraId="6A721F6D" w14:textId="77777777" w:rsidR="00A31380" w:rsidRDefault="00A313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4651" w14:textId="77777777" w:rsidR="0061291A" w:rsidRDefault="0061291A" w:rsidP="00A31380">
      <w:r>
        <w:separator/>
      </w:r>
    </w:p>
  </w:footnote>
  <w:footnote w:type="continuationSeparator" w:id="0">
    <w:p w14:paraId="5C9A4C5F" w14:textId="77777777" w:rsidR="0061291A" w:rsidRDefault="0061291A" w:rsidP="00A3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0773" w:type="dxa"/>
      <w:tblInd w:w="562" w:type="dxa"/>
      <w:shd w:val="clear" w:color="auto" w:fill="2C97F0"/>
      <w:tblLook w:val="04A0" w:firstRow="1" w:lastRow="0" w:firstColumn="1" w:lastColumn="0" w:noHBand="0" w:noVBand="1"/>
    </w:tblPr>
    <w:tblGrid>
      <w:gridCol w:w="10773"/>
    </w:tblGrid>
    <w:tr w:rsidR="00FC1986" w:rsidRPr="00FC1986" w14:paraId="63F03B72" w14:textId="77777777" w:rsidTr="00FC1986">
      <w:tc>
        <w:tcPr>
          <w:tcW w:w="10773" w:type="dxa"/>
          <w:shd w:val="clear" w:color="auto" w:fill="2C97F0"/>
        </w:tcPr>
        <w:p w14:paraId="43FD11B7" w14:textId="77777777" w:rsidR="00A31380" w:rsidRPr="00FC1986" w:rsidRDefault="00A31380" w:rsidP="00FC1986">
          <w:pPr>
            <w:tabs>
              <w:tab w:val="left" w:pos="3030"/>
            </w:tabs>
            <w:ind w:left="-387" w:firstLine="387"/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30"/>
              <w:szCs w:val="30"/>
            </w:rPr>
          </w:pPr>
          <w:r w:rsidRPr="00FC1986">
            <w:rPr>
              <w:rFonts w:ascii="Times New Roman" w:hAnsi="Times New Roman" w:cs="Times New Roman"/>
              <w:b/>
              <w:bCs/>
              <w:color w:val="FFFFFF" w:themeColor="background1"/>
              <w:sz w:val="30"/>
              <w:szCs w:val="30"/>
            </w:rPr>
            <w:t>Тарифи на касові послуги без відкриття рахунку</w:t>
          </w:r>
        </w:p>
        <w:p w14:paraId="0FF5CE18" w14:textId="77777777" w:rsidR="00A31380" w:rsidRPr="00FC1986" w:rsidRDefault="00A31380">
          <w:pPr>
            <w:pStyle w:val="a8"/>
            <w:rPr>
              <w:color w:val="FFFFFF" w:themeColor="background1"/>
            </w:rPr>
          </w:pPr>
        </w:p>
      </w:tc>
    </w:tr>
  </w:tbl>
  <w:p w14:paraId="2EE52FEA" w14:textId="77777777" w:rsidR="00A31380" w:rsidRDefault="00A313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61B"/>
    <w:multiLevelType w:val="hybridMultilevel"/>
    <w:tmpl w:val="D6A626B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7E1A"/>
    <w:multiLevelType w:val="hybridMultilevel"/>
    <w:tmpl w:val="172436A4"/>
    <w:lvl w:ilvl="0" w:tplc="0422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4C811A6"/>
    <w:multiLevelType w:val="hybridMultilevel"/>
    <w:tmpl w:val="A49EDED0"/>
    <w:lvl w:ilvl="0" w:tplc="2000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615E1B0C"/>
    <w:multiLevelType w:val="hybridMultilevel"/>
    <w:tmpl w:val="9F0658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98894">
    <w:abstractNumId w:val="1"/>
  </w:num>
  <w:num w:numId="2" w16cid:durableId="522548766">
    <w:abstractNumId w:val="3"/>
  </w:num>
  <w:num w:numId="3" w16cid:durableId="1396315842">
    <w:abstractNumId w:val="0"/>
  </w:num>
  <w:num w:numId="4" w16cid:durableId="17299107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Бюргер Наталія Анатоліївна">
    <w15:presenceInfo w15:providerId="AD" w15:userId="S::NBiurher@sky.bank::b8e2e111-c018-4f20-a64a-cdfd35918c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77"/>
    <w:rsid w:val="000F5DE7"/>
    <w:rsid w:val="0011045C"/>
    <w:rsid w:val="00122255"/>
    <w:rsid w:val="001D79BF"/>
    <w:rsid w:val="002475B8"/>
    <w:rsid w:val="00276F80"/>
    <w:rsid w:val="00287677"/>
    <w:rsid w:val="002E24DF"/>
    <w:rsid w:val="002F7D70"/>
    <w:rsid w:val="003018F2"/>
    <w:rsid w:val="0033777A"/>
    <w:rsid w:val="0036575F"/>
    <w:rsid w:val="003B73A7"/>
    <w:rsid w:val="003C76D9"/>
    <w:rsid w:val="004311F4"/>
    <w:rsid w:val="00440638"/>
    <w:rsid w:val="004518BE"/>
    <w:rsid w:val="00461FC7"/>
    <w:rsid w:val="004A331C"/>
    <w:rsid w:val="004C61EA"/>
    <w:rsid w:val="004E6435"/>
    <w:rsid w:val="005644B1"/>
    <w:rsid w:val="005679F8"/>
    <w:rsid w:val="0061291A"/>
    <w:rsid w:val="006353B6"/>
    <w:rsid w:val="00650A7A"/>
    <w:rsid w:val="006B6870"/>
    <w:rsid w:val="006D360B"/>
    <w:rsid w:val="006D5B49"/>
    <w:rsid w:val="006F71EB"/>
    <w:rsid w:val="007502CB"/>
    <w:rsid w:val="007B4485"/>
    <w:rsid w:val="007C267F"/>
    <w:rsid w:val="007E0EB9"/>
    <w:rsid w:val="009376BB"/>
    <w:rsid w:val="009509EF"/>
    <w:rsid w:val="009C520D"/>
    <w:rsid w:val="00A31380"/>
    <w:rsid w:val="00A950D4"/>
    <w:rsid w:val="00AB2DAB"/>
    <w:rsid w:val="00AC5BC2"/>
    <w:rsid w:val="00AF7374"/>
    <w:rsid w:val="00B01C4A"/>
    <w:rsid w:val="00B10191"/>
    <w:rsid w:val="00B30202"/>
    <w:rsid w:val="00B62E0E"/>
    <w:rsid w:val="00B637AD"/>
    <w:rsid w:val="00BA2D68"/>
    <w:rsid w:val="00BD4954"/>
    <w:rsid w:val="00C2697D"/>
    <w:rsid w:val="00C33663"/>
    <w:rsid w:val="00C44DC8"/>
    <w:rsid w:val="00C76AD5"/>
    <w:rsid w:val="00C92BAB"/>
    <w:rsid w:val="00D14619"/>
    <w:rsid w:val="00D44A88"/>
    <w:rsid w:val="00DE3620"/>
    <w:rsid w:val="00E50CE1"/>
    <w:rsid w:val="00E5331B"/>
    <w:rsid w:val="00EB60BF"/>
    <w:rsid w:val="00ED62D4"/>
    <w:rsid w:val="00F12D5B"/>
    <w:rsid w:val="00F152AD"/>
    <w:rsid w:val="00F20ABE"/>
    <w:rsid w:val="00F331FF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D5FE"/>
  <w15:chartTrackingRefBased/>
  <w15:docId w15:val="{4EEB55C5-7A52-415C-B110-E8948044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7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9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D79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79B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44A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A8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7C2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A3138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1380"/>
  </w:style>
  <w:style w:type="paragraph" w:styleId="aa">
    <w:name w:val="footer"/>
    <w:basedOn w:val="a"/>
    <w:link w:val="ab"/>
    <w:uiPriority w:val="99"/>
    <w:unhideWhenUsed/>
    <w:rsid w:val="00A3138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1380"/>
  </w:style>
  <w:style w:type="paragraph" w:styleId="ac">
    <w:name w:val="No Spacing"/>
    <w:basedOn w:val="a"/>
    <w:uiPriority w:val="1"/>
    <w:qFormat/>
    <w:rsid w:val="00A31380"/>
    <w:pPr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Абзац списку Знак"/>
    <w:aliases w:val="1. Абзац списка Знак,Equipment Знак"/>
    <w:basedOn w:val="a0"/>
    <w:link w:val="1"/>
    <w:uiPriority w:val="34"/>
    <w:locked/>
    <w:rsid w:val="00A31380"/>
  </w:style>
  <w:style w:type="paragraph" w:customStyle="1" w:styleId="1">
    <w:name w:val="Абзац списку1"/>
    <w:aliases w:val="1. Абзац списка,Equipment"/>
    <w:basedOn w:val="a"/>
    <w:link w:val="ad"/>
    <w:uiPriority w:val="34"/>
    <w:rsid w:val="00A31380"/>
    <w:pPr>
      <w:spacing w:after="160" w:line="252" w:lineRule="auto"/>
      <w:ind w:left="720"/>
      <w:contextualSpacing/>
    </w:pPr>
  </w:style>
  <w:style w:type="paragraph" w:styleId="ae">
    <w:name w:val="Revision"/>
    <w:hidden/>
    <w:uiPriority w:val="99"/>
    <w:semiHidden/>
    <w:rsid w:val="00ED62D4"/>
    <w:pPr>
      <w:spacing w:after="0" w:line="240" w:lineRule="auto"/>
    </w:pPr>
  </w:style>
  <w:style w:type="paragraph" w:styleId="af">
    <w:name w:val="List Paragraph"/>
    <w:basedOn w:val="a"/>
    <w:link w:val="af0"/>
    <w:uiPriority w:val="34"/>
    <w:qFormat/>
    <w:rsid w:val="00C92BAB"/>
    <w:pPr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Абзац списка Знак"/>
    <w:link w:val="af"/>
    <w:uiPriority w:val="34"/>
    <w:locked/>
    <w:rsid w:val="00C92BA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y.ban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B7AB-56EE-4B75-95D7-A6885FEC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3650</Characters>
  <Application>Microsoft Office Word</Application>
  <DocSecurity>0</DocSecurity>
  <Lines>152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Свічкар Олена Валеріївна</dc:creator>
  <cp:keywords/>
  <dc:description/>
  <cp:lastModifiedBy>Бюргер Наталія Анатоліївна</cp:lastModifiedBy>
  <cp:revision>2</cp:revision>
  <dcterms:created xsi:type="dcterms:W3CDTF">2026-02-02T12:34:00Z</dcterms:created>
  <dcterms:modified xsi:type="dcterms:W3CDTF">2026-02-02T12:34:00Z</dcterms:modified>
</cp:coreProperties>
</file>