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5DEF0" w14:textId="6A2DE887" w:rsidR="00F475E9" w:rsidRPr="004616F3" w:rsidRDefault="00F475E9" w:rsidP="00F475E9">
      <w:pPr>
        <w:jc w:val="right"/>
        <w:rPr>
          <w:lang w:val="uk-UA"/>
        </w:rPr>
      </w:pPr>
      <w:r w:rsidRPr="004616F3">
        <w:rPr>
          <w:lang w:val="uk-UA"/>
        </w:rPr>
        <w:t xml:space="preserve">Додаток № </w:t>
      </w:r>
      <w:r w:rsidR="002D53EB">
        <w:rPr>
          <w:lang w:val="uk-UA"/>
        </w:rPr>
        <w:t>3</w:t>
      </w:r>
    </w:p>
    <w:p w14:paraId="5F066DE2" w14:textId="77777777" w:rsidR="00F475E9" w:rsidRDefault="00F475E9" w:rsidP="00F475E9">
      <w:pPr>
        <w:jc w:val="right"/>
        <w:rPr>
          <w:lang w:val="uk-UA"/>
        </w:rPr>
      </w:pPr>
      <w:r w:rsidRPr="004616F3">
        <w:rPr>
          <w:lang w:val="uk-UA"/>
        </w:rPr>
        <w:t xml:space="preserve">До </w:t>
      </w:r>
      <w:r>
        <w:rPr>
          <w:lang w:val="uk-UA"/>
        </w:rPr>
        <w:t>Генерального д</w:t>
      </w:r>
      <w:r w:rsidRPr="004616F3">
        <w:rPr>
          <w:lang w:val="uk-UA"/>
        </w:rPr>
        <w:t xml:space="preserve">оговору </w:t>
      </w:r>
    </w:p>
    <w:p w14:paraId="14B268FF" w14:textId="77777777" w:rsidR="00F475E9" w:rsidRDefault="00F475E9" w:rsidP="00F475E9">
      <w:pPr>
        <w:jc w:val="right"/>
        <w:rPr>
          <w:lang w:val="uk-UA"/>
        </w:rPr>
      </w:pPr>
      <w:r>
        <w:rPr>
          <w:lang w:val="uk-UA"/>
        </w:rPr>
        <w:t xml:space="preserve">Про надання інвестиційних послуг </w:t>
      </w:r>
    </w:p>
    <w:p w14:paraId="5A0728FA" w14:textId="45E94C41" w:rsidR="006538C6" w:rsidRPr="0026373D" w:rsidRDefault="00F475E9" w:rsidP="00BA21F4">
      <w:pPr>
        <w:ind w:left="4956" w:firstLine="708"/>
        <w:rPr>
          <w:bCs/>
          <w:sz w:val="20"/>
          <w:szCs w:val="20"/>
        </w:rPr>
      </w:pPr>
      <w:r>
        <w:rPr>
          <w:lang w:val="uk-UA"/>
        </w:rPr>
        <w:t>АТ «СКАЙ БАНК»</w:t>
      </w:r>
      <w:r w:rsidR="006538C6" w:rsidRPr="006538C6">
        <w:rPr>
          <w:bCs/>
          <w:sz w:val="20"/>
          <w:szCs w:val="20"/>
        </w:rPr>
        <w:t xml:space="preserve"> </w:t>
      </w:r>
      <w:r w:rsidR="006538C6" w:rsidRPr="0026373D">
        <w:rPr>
          <w:bCs/>
          <w:sz w:val="20"/>
          <w:szCs w:val="20"/>
        </w:rPr>
        <w:t>(</w:t>
      </w:r>
      <w:proofErr w:type="spellStart"/>
      <w:r w:rsidR="006538C6" w:rsidRPr="0026373D">
        <w:rPr>
          <w:bCs/>
          <w:sz w:val="20"/>
          <w:szCs w:val="20"/>
        </w:rPr>
        <w:t>публічна</w:t>
      </w:r>
      <w:proofErr w:type="spellEnd"/>
      <w:r w:rsidR="006538C6" w:rsidRPr="0026373D">
        <w:rPr>
          <w:bCs/>
          <w:sz w:val="20"/>
          <w:szCs w:val="20"/>
        </w:rPr>
        <w:t xml:space="preserve"> </w:t>
      </w:r>
      <w:proofErr w:type="spellStart"/>
      <w:r w:rsidR="006538C6" w:rsidRPr="0026373D">
        <w:rPr>
          <w:bCs/>
          <w:sz w:val="20"/>
          <w:szCs w:val="20"/>
        </w:rPr>
        <w:t>частина</w:t>
      </w:r>
      <w:proofErr w:type="spellEnd"/>
      <w:r w:rsidR="006538C6" w:rsidRPr="0026373D">
        <w:rPr>
          <w:bCs/>
          <w:sz w:val="20"/>
          <w:szCs w:val="20"/>
        </w:rPr>
        <w:t>)</w:t>
      </w:r>
    </w:p>
    <w:p w14:paraId="1B72B5B6" w14:textId="5FBBE266" w:rsidR="00F475E9" w:rsidRPr="004616F3" w:rsidRDefault="006538C6" w:rsidP="00BA21F4">
      <w:pPr>
        <w:ind w:left="5664"/>
        <w:jc w:val="right"/>
        <w:rPr>
          <w:lang w:val="uk-UA"/>
        </w:rPr>
      </w:pPr>
      <w:proofErr w:type="spellStart"/>
      <w:r w:rsidRPr="0026373D">
        <w:rPr>
          <w:bCs/>
          <w:sz w:val="20"/>
          <w:szCs w:val="20"/>
        </w:rPr>
        <w:t>редакція</w:t>
      </w:r>
      <w:proofErr w:type="spellEnd"/>
      <w:r w:rsidRPr="0026373D">
        <w:rPr>
          <w:bCs/>
          <w:sz w:val="20"/>
          <w:szCs w:val="20"/>
        </w:rPr>
        <w:t xml:space="preserve"> </w:t>
      </w:r>
      <w:proofErr w:type="spellStart"/>
      <w:r w:rsidRPr="0026373D">
        <w:rPr>
          <w:bCs/>
          <w:sz w:val="20"/>
          <w:szCs w:val="20"/>
        </w:rPr>
        <w:t>діє</w:t>
      </w:r>
      <w:proofErr w:type="spellEnd"/>
      <w:r w:rsidRPr="0026373D">
        <w:rPr>
          <w:bCs/>
          <w:sz w:val="20"/>
          <w:szCs w:val="20"/>
        </w:rPr>
        <w:t xml:space="preserve"> з «___» _____ 2021 року </w:t>
      </w:r>
      <w:proofErr w:type="spellStart"/>
      <w:r w:rsidRPr="0026373D">
        <w:rPr>
          <w:bCs/>
          <w:sz w:val="20"/>
          <w:szCs w:val="20"/>
        </w:rPr>
        <w:t>згідно</w:t>
      </w:r>
      <w:proofErr w:type="spellEnd"/>
      <w:r w:rsidRPr="0026373D">
        <w:rPr>
          <w:bCs/>
          <w:sz w:val="20"/>
          <w:szCs w:val="20"/>
        </w:rPr>
        <w:t xml:space="preserve"> з </w:t>
      </w:r>
      <w:proofErr w:type="spellStart"/>
      <w:r w:rsidRPr="0026373D">
        <w:rPr>
          <w:bCs/>
          <w:sz w:val="20"/>
          <w:szCs w:val="20"/>
        </w:rPr>
        <w:t>рішенням</w:t>
      </w:r>
      <w:proofErr w:type="spellEnd"/>
      <w:r w:rsidRPr="0026373D">
        <w:rPr>
          <w:bCs/>
          <w:sz w:val="20"/>
          <w:szCs w:val="20"/>
        </w:rPr>
        <w:t xml:space="preserve"> </w:t>
      </w:r>
      <w:proofErr w:type="spellStart"/>
      <w:r w:rsidRPr="0026373D">
        <w:rPr>
          <w:bCs/>
          <w:sz w:val="20"/>
          <w:szCs w:val="20"/>
        </w:rPr>
        <w:t>Правління</w:t>
      </w:r>
      <w:proofErr w:type="spellEnd"/>
      <w:r w:rsidRPr="0026373D">
        <w:rPr>
          <w:bCs/>
          <w:sz w:val="20"/>
          <w:szCs w:val="20"/>
        </w:rPr>
        <w:t xml:space="preserve"> АТ «СКАЙ БАНК» протокол № ____ </w:t>
      </w:r>
      <w:proofErr w:type="spellStart"/>
      <w:r w:rsidRPr="0026373D">
        <w:rPr>
          <w:bCs/>
          <w:sz w:val="20"/>
          <w:szCs w:val="20"/>
        </w:rPr>
        <w:t>від</w:t>
      </w:r>
      <w:proofErr w:type="spellEnd"/>
      <w:r w:rsidRPr="0026373D">
        <w:rPr>
          <w:bCs/>
          <w:sz w:val="20"/>
          <w:szCs w:val="20"/>
        </w:rPr>
        <w:t xml:space="preserve"> _____2021року)</w:t>
      </w:r>
    </w:p>
    <w:p w14:paraId="36916AA7" w14:textId="77777777" w:rsidR="00AA1D0B" w:rsidRPr="00A343F1" w:rsidRDefault="00AA1D0B" w:rsidP="00AA1D0B">
      <w:pPr>
        <w:jc w:val="center"/>
        <w:rPr>
          <w:b/>
          <w:sz w:val="20"/>
          <w:szCs w:val="20"/>
          <w:lang w:val="uk-UA"/>
        </w:rPr>
      </w:pPr>
    </w:p>
    <w:p w14:paraId="1E7ED042" w14:textId="77777777" w:rsidR="00F475E9" w:rsidRPr="00A343F1" w:rsidRDefault="00F475E9" w:rsidP="00F475E9">
      <w:pPr>
        <w:ind w:right="113" w:firstLine="709"/>
        <w:jc w:val="center"/>
        <w:rPr>
          <w:b/>
          <w:sz w:val="20"/>
          <w:szCs w:val="20"/>
          <w:lang w:val="uk-UA" w:eastAsia="en-US"/>
        </w:rPr>
      </w:pPr>
      <w:bookmarkStart w:id="0" w:name="_Hlk68025921"/>
      <w:r w:rsidRPr="00A343F1">
        <w:rPr>
          <w:b/>
          <w:sz w:val="20"/>
          <w:szCs w:val="20"/>
          <w:lang w:val="uk-UA"/>
        </w:rPr>
        <w:t>Декларація про фактори ризику</w:t>
      </w:r>
    </w:p>
    <w:p w14:paraId="020847AD" w14:textId="319BE369" w:rsidR="00F475E9" w:rsidRPr="00A343F1" w:rsidRDefault="00F475E9" w:rsidP="00F475E9">
      <w:pPr>
        <w:ind w:right="113" w:firstLine="709"/>
        <w:jc w:val="center"/>
        <w:rPr>
          <w:b/>
          <w:sz w:val="20"/>
          <w:szCs w:val="20"/>
          <w:lang w:val="uk-UA"/>
        </w:rPr>
      </w:pPr>
      <w:proofErr w:type="spellStart"/>
      <w:r w:rsidRPr="00A343F1">
        <w:rPr>
          <w:b/>
          <w:sz w:val="20"/>
          <w:szCs w:val="20"/>
        </w:rPr>
        <w:t>що</w:t>
      </w:r>
      <w:proofErr w:type="spellEnd"/>
      <w:r w:rsidRPr="00A343F1">
        <w:rPr>
          <w:b/>
          <w:sz w:val="20"/>
          <w:szCs w:val="20"/>
        </w:rPr>
        <w:t xml:space="preserve"> </w:t>
      </w:r>
      <w:proofErr w:type="spellStart"/>
      <w:r w:rsidRPr="00A343F1">
        <w:rPr>
          <w:b/>
          <w:sz w:val="20"/>
          <w:szCs w:val="20"/>
        </w:rPr>
        <w:t>пов'язані</w:t>
      </w:r>
      <w:proofErr w:type="spellEnd"/>
      <w:r w:rsidRPr="00A343F1">
        <w:rPr>
          <w:b/>
          <w:sz w:val="20"/>
          <w:szCs w:val="20"/>
        </w:rPr>
        <w:t xml:space="preserve"> </w:t>
      </w:r>
      <w:proofErr w:type="spellStart"/>
      <w:r w:rsidRPr="00A343F1">
        <w:rPr>
          <w:b/>
          <w:sz w:val="20"/>
          <w:szCs w:val="20"/>
        </w:rPr>
        <w:t>зі</w:t>
      </w:r>
      <w:proofErr w:type="spellEnd"/>
      <w:r w:rsidRPr="00A343F1">
        <w:rPr>
          <w:b/>
          <w:sz w:val="20"/>
          <w:szCs w:val="20"/>
        </w:rPr>
        <w:t xml:space="preserve"> </w:t>
      </w:r>
      <w:proofErr w:type="spellStart"/>
      <w:r w:rsidRPr="00A343F1">
        <w:rPr>
          <w:b/>
          <w:sz w:val="20"/>
          <w:szCs w:val="20"/>
        </w:rPr>
        <w:t>здійсненням</w:t>
      </w:r>
      <w:proofErr w:type="spellEnd"/>
      <w:r w:rsidRPr="00A343F1">
        <w:rPr>
          <w:b/>
          <w:sz w:val="20"/>
          <w:szCs w:val="20"/>
        </w:rPr>
        <w:t xml:space="preserve"> </w:t>
      </w:r>
      <w:proofErr w:type="spellStart"/>
      <w:r w:rsidRPr="00A343F1">
        <w:rPr>
          <w:b/>
          <w:sz w:val="20"/>
          <w:szCs w:val="20"/>
        </w:rPr>
        <w:t>операцій</w:t>
      </w:r>
      <w:proofErr w:type="spellEnd"/>
      <w:r w:rsidRPr="00A343F1">
        <w:rPr>
          <w:b/>
          <w:sz w:val="20"/>
          <w:szCs w:val="20"/>
        </w:rPr>
        <w:t xml:space="preserve"> </w:t>
      </w:r>
      <w:proofErr w:type="gramStart"/>
      <w:r w:rsidRPr="00A343F1">
        <w:rPr>
          <w:b/>
          <w:sz w:val="20"/>
          <w:szCs w:val="20"/>
        </w:rPr>
        <w:t>на ринку</w:t>
      </w:r>
      <w:proofErr w:type="gramEnd"/>
      <w:r w:rsidRPr="00A343F1">
        <w:rPr>
          <w:b/>
          <w:sz w:val="20"/>
          <w:szCs w:val="20"/>
        </w:rPr>
        <w:t xml:space="preserve"> </w:t>
      </w:r>
      <w:r w:rsidRPr="00A343F1">
        <w:rPr>
          <w:b/>
          <w:sz w:val="20"/>
          <w:szCs w:val="20"/>
          <w:lang w:val="uk-UA"/>
        </w:rPr>
        <w:t>капіталів</w:t>
      </w:r>
    </w:p>
    <w:p w14:paraId="612E07F0" w14:textId="77777777" w:rsidR="00F475E9" w:rsidRPr="00A343F1" w:rsidRDefault="00F475E9" w:rsidP="00F475E9">
      <w:pPr>
        <w:ind w:right="113" w:firstLine="709"/>
        <w:jc w:val="both"/>
        <w:rPr>
          <w:sz w:val="20"/>
          <w:szCs w:val="20"/>
        </w:rPr>
      </w:pPr>
    </w:p>
    <w:p w14:paraId="3DF36F0F" w14:textId="585611BB" w:rsidR="00F475E9" w:rsidRPr="00A343F1" w:rsidRDefault="00F475E9" w:rsidP="00F475E9">
      <w:pPr>
        <w:ind w:right="113" w:firstLine="709"/>
        <w:jc w:val="both"/>
        <w:rPr>
          <w:sz w:val="20"/>
          <w:szCs w:val="20"/>
        </w:rPr>
      </w:pPr>
      <w:proofErr w:type="spellStart"/>
      <w:r w:rsidRPr="00A343F1">
        <w:rPr>
          <w:sz w:val="20"/>
          <w:szCs w:val="20"/>
        </w:rPr>
        <w:t>Цією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Декларацією</w:t>
      </w:r>
      <w:proofErr w:type="spellEnd"/>
      <w:r w:rsidRPr="00A343F1">
        <w:rPr>
          <w:sz w:val="20"/>
          <w:szCs w:val="20"/>
        </w:rPr>
        <w:t xml:space="preserve"> </w:t>
      </w:r>
      <w:r w:rsidRPr="00A343F1">
        <w:rPr>
          <w:sz w:val="20"/>
          <w:szCs w:val="20"/>
          <w:lang w:val="uk-UA"/>
        </w:rPr>
        <w:t xml:space="preserve">АКЦІОНЕРНЕ ТОВАРИСТВО «СКАЙ БАНК» (надалі –Торговець), </w:t>
      </w:r>
      <w:proofErr w:type="spellStart"/>
      <w:r w:rsidRPr="00A343F1">
        <w:rPr>
          <w:sz w:val="20"/>
          <w:szCs w:val="20"/>
        </w:rPr>
        <w:t>інформує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Клієнта</w:t>
      </w:r>
      <w:proofErr w:type="spellEnd"/>
      <w:r w:rsidRPr="00A343F1">
        <w:rPr>
          <w:sz w:val="20"/>
          <w:szCs w:val="20"/>
        </w:rPr>
        <w:t xml:space="preserve"> про </w:t>
      </w:r>
      <w:proofErr w:type="spellStart"/>
      <w:r w:rsidRPr="00A343F1">
        <w:rPr>
          <w:sz w:val="20"/>
          <w:szCs w:val="20"/>
        </w:rPr>
        <w:t>фактори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ризиків</w:t>
      </w:r>
      <w:proofErr w:type="spellEnd"/>
      <w:r w:rsidRPr="00A343F1">
        <w:rPr>
          <w:sz w:val="20"/>
          <w:szCs w:val="20"/>
        </w:rPr>
        <w:t xml:space="preserve">, </w:t>
      </w:r>
      <w:proofErr w:type="spellStart"/>
      <w:r w:rsidRPr="00A343F1">
        <w:rPr>
          <w:sz w:val="20"/>
          <w:szCs w:val="20"/>
        </w:rPr>
        <w:t>що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пов'язані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зі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здійсненням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операцій</w:t>
      </w:r>
      <w:proofErr w:type="spellEnd"/>
      <w:r w:rsidRPr="00A343F1">
        <w:rPr>
          <w:sz w:val="20"/>
          <w:szCs w:val="20"/>
        </w:rPr>
        <w:t xml:space="preserve"> </w:t>
      </w:r>
      <w:proofErr w:type="gramStart"/>
      <w:r w:rsidRPr="00A343F1">
        <w:rPr>
          <w:sz w:val="20"/>
          <w:szCs w:val="20"/>
        </w:rPr>
        <w:t>на фондовому ринку</w:t>
      </w:r>
      <w:proofErr w:type="gramEnd"/>
      <w:r w:rsidRPr="00A343F1">
        <w:rPr>
          <w:sz w:val="20"/>
          <w:szCs w:val="20"/>
        </w:rPr>
        <w:t xml:space="preserve">. </w:t>
      </w:r>
      <w:proofErr w:type="spellStart"/>
      <w:r w:rsidRPr="00A343F1">
        <w:rPr>
          <w:sz w:val="20"/>
          <w:szCs w:val="20"/>
        </w:rPr>
        <w:t>Під</w:t>
      </w:r>
      <w:proofErr w:type="spellEnd"/>
      <w:r w:rsidRPr="00A343F1">
        <w:rPr>
          <w:sz w:val="20"/>
          <w:szCs w:val="20"/>
        </w:rPr>
        <w:t xml:space="preserve"> факторами </w:t>
      </w:r>
      <w:proofErr w:type="spellStart"/>
      <w:r w:rsidRPr="00A343F1">
        <w:rPr>
          <w:sz w:val="20"/>
          <w:szCs w:val="20"/>
        </w:rPr>
        <w:t>ризиків</w:t>
      </w:r>
      <w:proofErr w:type="spellEnd"/>
      <w:r w:rsidRPr="00A343F1">
        <w:rPr>
          <w:sz w:val="20"/>
          <w:szCs w:val="20"/>
        </w:rPr>
        <w:t xml:space="preserve"> у </w:t>
      </w:r>
      <w:proofErr w:type="spellStart"/>
      <w:r w:rsidRPr="00A343F1">
        <w:rPr>
          <w:sz w:val="20"/>
          <w:szCs w:val="20"/>
        </w:rPr>
        <w:t>даному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випадку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розуміються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обставини</w:t>
      </w:r>
      <w:proofErr w:type="spellEnd"/>
      <w:r w:rsidRPr="00A343F1">
        <w:rPr>
          <w:sz w:val="20"/>
          <w:szCs w:val="20"/>
        </w:rPr>
        <w:t xml:space="preserve">, </w:t>
      </w:r>
      <w:proofErr w:type="spellStart"/>
      <w:r w:rsidRPr="00A343F1">
        <w:rPr>
          <w:sz w:val="20"/>
          <w:szCs w:val="20"/>
        </w:rPr>
        <w:t>які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можуть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призвести</w:t>
      </w:r>
      <w:proofErr w:type="spellEnd"/>
      <w:r w:rsidRPr="00A343F1">
        <w:rPr>
          <w:sz w:val="20"/>
          <w:szCs w:val="20"/>
        </w:rPr>
        <w:t xml:space="preserve"> до </w:t>
      </w:r>
      <w:proofErr w:type="spellStart"/>
      <w:r w:rsidRPr="00A343F1">
        <w:rPr>
          <w:sz w:val="20"/>
          <w:szCs w:val="20"/>
        </w:rPr>
        <w:t>часткової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або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повної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втрати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грошових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коштів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клієнта</w:t>
      </w:r>
      <w:proofErr w:type="spellEnd"/>
      <w:r w:rsidRPr="00A343F1">
        <w:rPr>
          <w:sz w:val="20"/>
          <w:szCs w:val="20"/>
        </w:rPr>
        <w:t xml:space="preserve">, у тому </w:t>
      </w:r>
      <w:proofErr w:type="spellStart"/>
      <w:r w:rsidRPr="00A343F1">
        <w:rPr>
          <w:sz w:val="20"/>
          <w:szCs w:val="20"/>
        </w:rPr>
        <w:t>числі</w:t>
      </w:r>
      <w:proofErr w:type="spellEnd"/>
      <w:r w:rsidRPr="00A343F1">
        <w:rPr>
          <w:sz w:val="20"/>
          <w:szCs w:val="20"/>
        </w:rPr>
        <w:t xml:space="preserve"> за </w:t>
      </w:r>
      <w:proofErr w:type="spellStart"/>
      <w:r w:rsidRPr="00A343F1">
        <w:rPr>
          <w:sz w:val="20"/>
          <w:szCs w:val="20"/>
        </w:rPr>
        <w:t>рахунок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зниження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вартості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цінних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паперів</w:t>
      </w:r>
      <w:proofErr w:type="spellEnd"/>
      <w:r w:rsidRPr="00A343F1">
        <w:rPr>
          <w:sz w:val="20"/>
          <w:szCs w:val="20"/>
        </w:rPr>
        <w:t xml:space="preserve"> та/</w:t>
      </w:r>
      <w:proofErr w:type="spellStart"/>
      <w:r w:rsidRPr="00A343F1">
        <w:rPr>
          <w:sz w:val="20"/>
          <w:szCs w:val="20"/>
        </w:rPr>
        <w:t>або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інших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фінансових</w:t>
      </w:r>
      <w:proofErr w:type="spellEnd"/>
      <w:r w:rsidRPr="00A343F1">
        <w:rPr>
          <w:sz w:val="20"/>
          <w:szCs w:val="20"/>
        </w:rPr>
        <w:t xml:space="preserve"> </w:t>
      </w:r>
      <w:proofErr w:type="spellStart"/>
      <w:r w:rsidRPr="00A343F1">
        <w:rPr>
          <w:sz w:val="20"/>
          <w:szCs w:val="20"/>
        </w:rPr>
        <w:t>інструментів</w:t>
      </w:r>
      <w:proofErr w:type="spellEnd"/>
      <w:r w:rsidRPr="00A343F1">
        <w:rPr>
          <w:sz w:val="20"/>
          <w:szCs w:val="20"/>
        </w:rPr>
        <w:t xml:space="preserve">. </w:t>
      </w:r>
    </w:p>
    <w:bookmarkEnd w:id="0"/>
    <w:p w14:paraId="364B58B0" w14:textId="60AB1C4E" w:rsidR="00AA1D0B" w:rsidRPr="00A343F1" w:rsidRDefault="00294E52" w:rsidP="00AA1D0B">
      <w:pPr>
        <w:jc w:val="both"/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 xml:space="preserve">До </w:t>
      </w:r>
      <w:r w:rsidR="00AA1D0B" w:rsidRPr="00A343F1">
        <w:rPr>
          <w:sz w:val="20"/>
          <w:szCs w:val="20"/>
          <w:lang w:val="uk-UA"/>
        </w:rPr>
        <w:t xml:space="preserve"> можлив</w:t>
      </w:r>
      <w:r w:rsidRPr="00A343F1">
        <w:rPr>
          <w:sz w:val="20"/>
          <w:szCs w:val="20"/>
          <w:lang w:val="uk-UA"/>
        </w:rPr>
        <w:t xml:space="preserve">их </w:t>
      </w:r>
      <w:r w:rsidR="00AA1D0B" w:rsidRPr="00A343F1">
        <w:rPr>
          <w:sz w:val="20"/>
          <w:szCs w:val="20"/>
          <w:lang w:val="uk-UA"/>
        </w:rPr>
        <w:t>фактор</w:t>
      </w:r>
      <w:r w:rsidRPr="00A343F1">
        <w:rPr>
          <w:sz w:val="20"/>
          <w:szCs w:val="20"/>
          <w:lang w:val="uk-UA"/>
        </w:rPr>
        <w:t>ів</w:t>
      </w:r>
      <w:r w:rsidR="00AA1D0B" w:rsidRPr="00A343F1">
        <w:rPr>
          <w:sz w:val="20"/>
          <w:szCs w:val="20"/>
          <w:lang w:val="uk-UA"/>
        </w:rPr>
        <w:t xml:space="preserve"> ризик</w:t>
      </w:r>
      <w:r w:rsidRPr="00A343F1">
        <w:rPr>
          <w:sz w:val="20"/>
          <w:szCs w:val="20"/>
          <w:lang w:val="uk-UA"/>
        </w:rPr>
        <w:t xml:space="preserve">у </w:t>
      </w:r>
      <w:r w:rsidR="00AA1D0B" w:rsidRPr="00A343F1">
        <w:rPr>
          <w:sz w:val="20"/>
          <w:szCs w:val="20"/>
          <w:lang w:val="uk-UA"/>
        </w:rPr>
        <w:t xml:space="preserve">відносяться: </w:t>
      </w:r>
    </w:p>
    <w:p w14:paraId="3439EE61" w14:textId="39EB3B11" w:rsidR="00AA1D0B" w:rsidRPr="00A343F1" w:rsidRDefault="00AA1D0B" w:rsidP="00AA1D0B">
      <w:pPr>
        <w:jc w:val="both"/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>1.</w:t>
      </w:r>
      <w:r w:rsidRPr="00A343F1">
        <w:rPr>
          <w:b/>
          <w:sz w:val="20"/>
          <w:szCs w:val="20"/>
          <w:lang w:val="uk-UA"/>
        </w:rPr>
        <w:t xml:space="preserve"> Фінансовий ризик</w:t>
      </w:r>
      <w:r w:rsidRPr="00A343F1">
        <w:rPr>
          <w:sz w:val="20"/>
          <w:szCs w:val="20"/>
          <w:lang w:val="uk-UA"/>
        </w:rPr>
        <w:t xml:space="preserve"> - об’єктивне явище, яке властиве більшості господарських операцій, пов’язаних із цінними паперами та/або іншими фінансовими інструментами. До фінансових ризиків відносять наступні ризики:</w:t>
      </w:r>
    </w:p>
    <w:p w14:paraId="2D7AD2EF" w14:textId="77777777" w:rsidR="00AA1D0B" w:rsidRPr="00A343F1" w:rsidRDefault="00AA1D0B" w:rsidP="00AA1D0B">
      <w:pPr>
        <w:pStyle w:val="a6"/>
        <w:numPr>
          <w:ilvl w:val="0"/>
          <w:numId w:val="1"/>
        </w:numPr>
        <w:tabs>
          <w:tab w:val="clear" w:pos="570"/>
        </w:tabs>
        <w:suppressAutoHyphens w:val="0"/>
        <w:spacing w:before="0" w:after="0"/>
        <w:rPr>
          <w:sz w:val="20"/>
          <w:szCs w:val="20"/>
          <w:lang w:eastAsia="ru-RU"/>
        </w:rPr>
      </w:pPr>
      <w:r w:rsidRPr="00A343F1">
        <w:rPr>
          <w:b/>
          <w:sz w:val="20"/>
          <w:szCs w:val="20"/>
          <w:lang w:eastAsia="ru-RU"/>
        </w:rPr>
        <w:t>системний ризик</w:t>
      </w:r>
      <w:r w:rsidRPr="00A343F1">
        <w:rPr>
          <w:sz w:val="20"/>
          <w:szCs w:val="20"/>
          <w:lang w:eastAsia="ru-RU"/>
        </w:rPr>
        <w:t xml:space="preserve"> - ризик, на який впливає стан економіки загалом і певною мірою відбиваються на дохідності ЦП/ІФІ, що обертаються на фондовому ринку;</w:t>
      </w:r>
    </w:p>
    <w:p w14:paraId="5BFAF08A" w14:textId="77777777" w:rsidR="00AA1D0B" w:rsidRPr="00A343F1" w:rsidRDefault="00AA1D0B" w:rsidP="00AA1D0B">
      <w:pPr>
        <w:pStyle w:val="a6"/>
        <w:numPr>
          <w:ilvl w:val="0"/>
          <w:numId w:val="1"/>
        </w:numPr>
        <w:suppressAutoHyphens w:val="0"/>
        <w:spacing w:before="0" w:after="0"/>
        <w:rPr>
          <w:sz w:val="20"/>
          <w:szCs w:val="20"/>
          <w:lang w:eastAsia="ru-RU"/>
        </w:rPr>
      </w:pPr>
      <w:r w:rsidRPr="00A343F1">
        <w:rPr>
          <w:b/>
          <w:sz w:val="20"/>
          <w:szCs w:val="20"/>
          <w:lang w:eastAsia="ru-RU"/>
        </w:rPr>
        <w:t>кредитний ризик</w:t>
      </w:r>
      <w:r w:rsidRPr="00A343F1">
        <w:rPr>
          <w:sz w:val="20"/>
          <w:szCs w:val="20"/>
          <w:lang w:eastAsia="ru-RU"/>
        </w:rPr>
        <w:t xml:space="preserve"> – ризик недобросовісності контрагента, що полягає в неспроможності контрагента (боржника чи будь-якого дебітора) виконати  взяті на себе зобов’язання за будь-якою угодою із професійним учасником фондового ринку; </w:t>
      </w:r>
    </w:p>
    <w:p w14:paraId="44EAD68B" w14:textId="77777777" w:rsidR="00AA1D0B" w:rsidRPr="00A343F1" w:rsidRDefault="00AA1D0B" w:rsidP="00AA1D0B">
      <w:pPr>
        <w:pStyle w:val="a6"/>
        <w:numPr>
          <w:ilvl w:val="0"/>
          <w:numId w:val="1"/>
        </w:numPr>
        <w:suppressAutoHyphens w:val="0"/>
        <w:spacing w:before="0" w:after="0"/>
        <w:rPr>
          <w:sz w:val="20"/>
          <w:szCs w:val="20"/>
          <w:lang w:eastAsia="ru-RU"/>
        </w:rPr>
      </w:pPr>
      <w:r w:rsidRPr="00A343F1">
        <w:rPr>
          <w:b/>
          <w:sz w:val="20"/>
          <w:szCs w:val="20"/>
          <w:lang w:eastAsia="ru-RU"/>
        </w:rPr>
        <w:t>валютний ризик</w:t>
      </w:r>
      <w:r w:rsidRPr="00A343F1">
        <w:rPr>
          <w:sz w:val="20"/>
          <w:szCs w:val="20"/>
        </w:rPr>
        <w:t xml:space="preserve"> </w:t>
      </w:r>
      <w:r w:rsidRPr="00A343F1">
        <w:rPr>
          <w:sz w:val="20"/>
          <w:szCs w:val="20"/>
          <w:lang w:eastAsia="ru-RU"/>
        </w:rPr>
        <w:t>– можливість повної або часткової втрати грошових коштів, цінних паперів та/або інших фінансових інструментів через зміну вартості фінансового інструмента внаслідок зміни курсу однієї іноземної валюти стосовно іншої, у тому числі національної валюти;</w:t>
      </w:r>
    </w:p>
    <w:p w14:paraId="0035685E" w14:textId="77777777" w:rsidR="00AA1D0B" w:rsidRPr="00A343F1" w:rsidRDefault="00AA1D0B" w:rsidP="00AA1D0B">
      <w:pPr>
        <w:pStyle w:val="a6"/>
        <w:numPr>
          <w:ilvl w:val="0"/>
          <w:numId w:val="1"/>
        </w:numPr>
        <w:suppressAutoHyphens w:val="0"/>
        <w:spacing w:before="0" w:after="0"/>
        <w:rPr>
          <w:sz w:val="20"/>
          <w:szCs w:val="20"/>
          <w:lang w:eastAsia="ru-RU"/>
        </w:rPr>
      </w:pPr>
      <w:r w:rsidRPr="00A343F1">
        <w:rPr>
          <w:b/>
          <w:sz w:val="20"/>
          <w:szCs w:val="20"/>
          <w:lang w:eastAsia="ru-RU"/>
        </w:rPr>
        <w:t>ринковий ризик</w:t>
      </w:r>
      <w:r w:rsidRPr="00A343F1">
        <w:rPr>
          <w:sz w:val="20"/>
          <w:szCs w:val="20"/>
          <w:lang w:eastAsia="ru-RU"/>
        </w:rPr>
        <w:t xml:space="preserve"> – поточний чи майбутній ризик збитків, який виникає в результаті несприятливих змін у цінах чи ринкової вартості ЦП/ІФІ, включаючи змінність процентних ставок; </w:t>
      </w:r>
    </w:p>
    <w:p w14:paraId="1BF197C5" w14:textId="77777777" w:rsidR="00AA1D0B" w:rsidRPr="00A343F1" w:rsidRDefault="00AA1D0B" w:rsidP="00AA1D0B">
      <w:pPr>
        <w:pStyle w:val="a6"/>
        <w:numPr>
          <w:ilvl w:val="0"/>
          <w:numId w:val="1"/>
        </w:numPr>
        <w:suppressAutoHyphens w:val="0"/>
        <w:spacing w:before="0" w:after="0"/>
        <w:rPr>
          <w:sz w:val="20"/>
          <w:szCs w:val="20"/>
          <w:lang w:eastAsia="ru-RU"/>
        </w:rPr>
      </w:pPr>
      <w:r w:rsidRPr="00A343F1">
        <w:rPr>
          <w:b/>
          <w:sz w:val="20"/>
          <w:szCs w:val="20"/>
          <w:lang w:eastAsia="ru-RU"/>
        </w:rPr>
        <w:t>ризик зміни ціни</w:t>
      </w:r>
      <w:r w:rsidRPr="00A343F1">
        <w:rPr>
          <w:sz w:val="20"/>
          <w:szCs w:val="20"/>
          <w:lang w:eastAsia="ru-RU"/>
        </w:rPr>
        <w:t xml:space="preserve"> – виникає в результаті різниць у строках погашення фінансових інструментів з фіксованими ставками та змін процентних ставок фінансових інструментів з плаваючими процентними ставками;</w:t>
      </w:r>
    </w:p>
    <w:p w14:paraId="1E582E32" w14:textId="77777777" w:rsidR="00AA1D0B" w:rsidRPr="00A343F1" w:rsidRDefault="00AA1D0B" w:rsidP="00AA1D0B">
      <w:pPr>
        <w:pStyle w:val="a6"/>
        <w:numPr>
          <w:ilvl w:val="0"/>
          <w:numId w:val="1"/>
        </w:numPr>
        <w:suppressAutoHyphens w:val="0"/>
        <w:spacing w:before="0" w:after="0"/>
        <w:rPr>
          <w:sz w:val="20"/>
          <w:szCs w:val="20"/>
          <w:lang w:eastAsia="ru-RU"/>
        </w:rPr>
      </w:pPr>
      <w:r w:rsidRPr="00A343F1">
        <w:rPr>
          <w:b/>
          <w:sz w:val="20"/>
          <w:szCs w:val="20"/>
          <w:lang w:eastAsia="ru-RU"/>
        </w:rPr>
        <w:t>ризик опціонів</w:t>
      </w:r>
      <w:r w:rsidRPr="00A343F1">
        <w:rPr>
          <w:sz w:val="20"/>
          <w:szCs w:val="20"/>
          <w:lang w:eastAsia="ru-RU"/>
        </w:rPr>
        <w:t xml:space="preserve"> – це ризик, що виникає в результаті вбудованих у фінансові інструменти опціонів, де вартість опціону залежить від змін процентних ставок;</w:t>
      </w:r>
    </w:p>
    <w:p w14:paraId="37F0FCEC" w14:textId="77777777" w:rsidR="00AA1D0B" w:rsidRPr="00A343F1" w:rsidRDefault="00AA1D0B" w:rsidP="00AA1D0B">
      <w:pPr>
        <w:pStyle w:val="a6"/>
        <w:numPr>
          <w:ilvl w:val="0"/>
          <w:numId w:val="2"/>
        </w:numPr>
        <w:suppressAutoHyphens w:val="0"/>
        <w:spacing w:before="0" w:after="0"/>
        <w:rPr>
          <w:sz w:val="20"/>
          <w:szCs w:val="20"/>
          <w:lang w:eastAsia="ru-RU"/>
        </w:rPr>
      </w:pPr>
      <w:r w:rsidRPr="00A343F1">
        <w:rPr>
          <w:b/>
          <w:sz w:val="20"/>
          <w:szCs w:val="20"/>
          <w:lang w:eastAsia="ru-RU"/>
        </w:rPr>
        <w:t>ризик ліквідності</w:t>
      </w:r>
      <w:r w:rsidRPr="00A343F1">
        <w:rPr>
          <w:sz w:val="20"/>
          <w:szCs w:val="20"/>
          <w:lang w:eastAsia="ru-RU"/>
        </w:rPr>
        <w:t xml:space="preserve"> – це поточний чи майбутній ризик збитків, який виникає в результаті неспроможності контрагента.</w:t>
      </w:r>
    </w:p>
    <w:p w14:paraId="3323AB86" w14:textId="77777777" w:rsidR="00AA1D0B" w:rsidRPr="00A343F1" w:rsidRDefault="00AA1D0B" w:rsidP="00AA1D0B">
      <w:pPr>
        <w:pStyle w:val="a6"/>
        <w:suppressAutoHyphens w:val="0"/>
        <w:spacing w:before="0" w:after="0"/>
        <w:rPr>
          <w:sz w:val="20"/>
          <w:szCs w:val="20"/>
          <w:lang w:eastAsia="ru-RU"/>
        </w:rPr>
      </w:pPr>
    </w:p>
    <w:p w14:paraId="7A77F996" w14:textId="5D931FF0" w:rsidR="00AA1D0B" w:rsidRPr="00A343F1" w:rsidRDefault="00AA1D0B" w:rsidP="00AA1D0B">
      <w:pPr>
        <w:jc w:val="both"/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>2.</w:t>
      </w:r>
      <w:r w:rsidRPr="00A343F1">
        <w:rPr>
          <w:b/>
          <w:sz w:val="20"/>
          <w:szCs w:val="20"/>
          <w:lang w:val="uk-UA"/>
        </w:rPr>
        <w:t xml:space="preserve"> Операційний ризик</w:t>
      </w:r>
      <w:r w:rsidRPr="00A343F1">
        <w:rPr>
          <w:sz w:val="20"/>
          <w:szCs w:val="20"/>
          <w:lang w:val="uk-UA"/>
        </w:rPr>
        <w:t xml:space="preserve"> – ризик, який може виникнути у контрагента в результаті невідповідності  корпоративного управління, засобів внутрішнього контролю, інформаційних технологій, або інших операційних систем, необхідних для провадження діяльності професійного учасника ринку цінних паперів. </w:t>
      </w:r>
    </w:p>
    <w:p w14:paraId="67AEDB63" w14:textId="77777777" w:rsidR="00AA1D0B" w:rsidRPr="00A343F1" w:rsidRDefault="00AA1D0B" w:rsidP="00AA1D0B">
      <w:pPr>
        <w:jc w:val="both"/>
        <w:rPr>
          <w:sz w:val="20"/>
          <w:szCs w:val="20"/>
          <w:lang w:val="uk-UA"/>
        </w:rPr>
      </w:pPr>
    </w:p>
    <w:p w14:paraId="3A235462" w14:textId="74414AAD" w:rsidR="00AA1D0B" w:rsidRPr="00A343F1" w:rsidRDefault="00AA1D0B" w:rsidP="00AA1D0B">
      <w:pPr>
        <w:jc w:val="both"/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>3.</w:t>
      </w:r>
      <w:r w:rsidRPr="00A343F1">
        <w:rPr>
          <w:b/>
          <w:sz w:val="20"/>
          <w:szCs w:val="20"/>
          <w:lang w:val="uk-UA"/>
        </w:rPr>
        <w:t xml:space="preserve">  Кадровий ризик</w:t>
      </w:r>
      <w:r w:rsidRPr="00A343F1">
        <w:rPr>
          <w:sz w:val="20"/>
          <w:szCs w:val="20"/>
          <w:lang w:val="uk-UA"/>
        </w:rPr>
        <w:t xml:space="preserve"> – це ризик, який виникає через недостатню кваліфікацію, недосвідченість працівників контрагента.</w:t>
      </w:r>
    </w:p>
    <w:p w14:paraId="78691142" w14:textId="77777777" w:rsidR="00AA1D0B" w:rsidRPr="00A343F1" w:rsidRDefault="00AA1D0B" w:rsidP="00AA1D0B">
      <w:pPr>
        <w:jc w:val="both"/>
        <w:rPr>
          <w:sz w:val="20"/>
          <w:szCs w:val="20"/>
          <w:lang w:val="uk-UA"/>
        </w:rPr>
      </w:pPr>
    </w:p>
    <w:p w14:paraId="71C81320" w14:textId="6D0A1CB6" w:rsidR="00AA1D0B" w:rsidRPr="00A343F1" w:rsidRDefault="00AA1D0B" w:rsidP="00AA1D0B">
      <w:pPr>
        <w:jc w:val="both"/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>4.</w:t>
      </w:r>
      <w:r w:rsidRPr="00A343F1">
        <w:rPr>
          <w:b/>
          <w:sz w:val="20"/>
          <w:szCs w:val="20"/>
          <w:lang w:val="uk-UA"/>
        </w:rPr>
        <w:t xml:space="preserve">  Ризик, пов’язаний з репутацією</w:t>
      </w:r>
      <w:r w:rsidRPr="00A343F1">
        <w:rPr>
          <w:sz w:val="20"/>
          <w:szCs w:val="20"/>
          <w:lang w:val="uk-UA"/>
        </w:rPr>
        <w:t xml:space="preserve"> – це поточний чи майбутній ризик збитків, який виникає в результаті негативного сприйняття репутації або недовіри, а також застосування державними органами заходів впливу, передбачених законодавством. Це впливає на спроможність Товариства встановлювати нові відносини з контрагентами, надавати нові послуги або підтримувати існуючі відносини.</w:t>
      </w:r>
    </w:p>
    <w:p w14:paraId="2392A019" w14:textId="77777777" w:rsidR="00AA1D0B" w:rsidRPr="00A343F1" w:rsidRDefault="00AA1D0B" w:rsidP="00AA1D0B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</w:p>
    <w:p w14:paraId="4B14A118" w14:textId="6B589E7F" w:rsidR="00AA1D0B" w:rsidRPr="00A343F1" w:rsidRDefault="00AA1D0B" w:rsidP="00AA1D0B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 w:rsidRPr="00A343F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5. </w:t>
      </w:r>
      <w:r w:rsidRPr="00A343F1">
        <w:rPr>
          <w:rFonts w:ascii="Times New Roman" w:hAnsi="Times New Roman" w:cs="Times New Roman"/>
          <w:b/>
          <w:color w:val="auto"/>
          <w:sz w:val="20"/>
          <w:szCs w:val="20"/>
          <w:lang w:val="uk-UA"/>
        </w:rPr>
        <w:t>Юридичний (правовий)  ризик</w:t>
      </w:r>
      <w:r w:rsidRPr="00A343F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 – наявний або потенційний ризик, який виникає через порушення або недотримання вимог законів, нормативно-правових актів, угод, прийнятої практики або етичних норм, а також через можливість двозначного їх тлумачення; </w:t>
      </w:r>
    </w:p>
    <w:p w14:paraId="7174F087" w14:textId="77777777" w:rsidR="00AA1D0B" w:rsidRPr="00A343F1" w:rsidRDefault="00AA1D0B" w:rsidP="00AA1D0B">
      <w:pPr>
        <w:jc w:val="both"/>
        <w:rPr>
          <w:sz w:val="20"/>
          <w:szCs w:val="20"/>
          <w:lang w:val="uk-UA"/>
        </w:rPr>
      </w:pPr>
    </w:p>
    <w:p w14:paraId="2E3C70F1" w14:textId="4AF39649" w:rsidR="00AA1D0B" w:rsidRPr="00A343F1" w:rsidRDefault="00AA1D0B" w:rsidP="00AA1D0B">
      <w:pPr>
        <w:jc w:val="both"/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>6.</w:t>
      </w:r>
      <w:r w:rsidRPr="00A343F1">
        <w:rPr>
          <w:b/>
          <w:sz w:val="20"/>
          <w:szCs w:val="20"/>
          <w:lang w:val="uk-UA"/>
        </w:rPr>
        <w:t xml:space="preserve">  Стратегічний ризик</w:t>
      </w:r>
      <w:r w:rsidRPr="00A343F1">
        <w:rPr>
          <w:sz w:val="20"/>
          <w:szCs w:val="20"/>
          <w:lang w:val="uk-UA"/>
        </w:rPr>
        <w:t xml:space="preserve"> – це поточний чи майбутній ризик збитків, який виникає в результаті ігнорування змін зовнішніх економічних умов.</w:t>
      </w:r>
    </w:p>
    <w:p w14:paraId="5FC597CE" w14:textId="77777777" w:rsidR="00AA1D0B" w:rsidRPr="00A343F1" w:rsidRDefault="00AA1D0B" w:rsidP="00AA1D0B">
      <w:pPr>
        <w:jc w:val="both"/>
        <w:rPr>
          <w:sz w:val="20"/>
          <w:szCs w:val="20"/>
          <w:lang w:val="uk-UA"/>
        </w:rPr>
      </w:pPr>
    </w:p>
    <w:p w14:paraId="3A5D93E7" w14:textId="1388E54C" w:rsidR="00AA1D0B" w:rsidRPr="00A343F1" w:rsidRDefault="00AA1D0B" w:rsidP="00AA1D0B">
      <w:pPr>
        <w:jc w:val="both"/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>7.</w:t>
      </w:r>
      <w:r w:rsidRPr="00A343F1">
        <w:rPr>
          <w:b/>
          <w:sz w:val="20"/>
          <w:szCs w:val="20"/>
          <w:lang w:val="uk-UA"/>
        </w:rPr>
        <w:t xml:space="preserve"> Політичний ризик</w:t>
      </w:r>
      <w:r w:rsidRPr="00A343F1">
        <w:rPr>
          <w:sz w:val="20"/>
          <w:szCs w:val="20"/>
          <w:lang w:val="uk-UA"/>
        </w:rPr>
        <w:t xml:space="preserve"> – ризик несприятливих змін у політичній ситуації в країні. Війна, зміна керівництва країни, ухвалення нормативно-правових актів, що негативно впливають на інвестиційний клімат, - всі ці чинники можуть вплинути на вартість цінних паперів та/або інших фінансових інструментів або умови виплати дивідендів.</w:t>
      </w:r>
    </w:p>
    <w:p w14:paraId="32FFC522" w14:textId="77777777" w:rsidR="00AA1D0B" w:rsidRPr="00A343F1" w:rsidRDefault="00AA1D0B" w:rsidP="00AA1D0B">
      <w:pPr>
        <w:pStyle w:val="Default"/>
        <w:jc w:val="both"/>
        <w:rPr>
          <w:rFonts w:ascii="Times New Roman" w:hAnsi="Times New Roman" w:cs="Times New Roman"/>
          <w:bCs/>
          <w:color w:val="auto"/>
          <w:sz w:val="20"/>
          <w:szCs w:val="20"/>
          <w:lang w:val="uk-UA"/>
        </w:rPr>
      </w:pPr>
    </w:p>
    <w:p w14:paraId="193A7661" w14:textId="49E5E689" w:rsidR="00AA1D0B" w:rsidRPr="00A343F1" w:rsidRDefault="00AA1D0B" w:rsidP="00AA1D0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 w:rsidRPr="00A343F1">
        <w:rPr>
          <w:rFonts w:ascii="Times New Roman" w:hAnsi="Times New Roman" w:cs="Times New Roman"/>
          <w:bCs/>
          <w:color w:val="auto"/>
          <w:sz w:val="20"/>
          <w:szCs w:val="20"/>
          <w:lang w:val="uk-UA"/>
        </w:rPr>
        <w:t>8.</w:t>
      </w:r>
      <w:r w:rsidRPr="00A343F1">
        <w:rPr>
          <w:rFonts w:ascii="Times New Roman" w:hAnsi="Times New Roman" w:cs="Times New Roman"/>
          <w:b/>
          <w:bCs/>
          <w:color w:val="auto"/>
          <w:sz w:val="20"/>
          <w:szCs w:val="20"/>
          <w:lang w:val="uk-UA"/>
        </w:rPr>
        <w:t xml:space="preserve"> Технічні ризики</w:t>
      </w:r>
      <w:r w:rsidRPr="00A343F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, - це ризики, що можуть бути пов’язані з виникненням проблем у роботі інформаційних, комунікаційних, електронних та інших систем, а також з порушенням рекомендацій з використання прав доступу до торгової платформи (логіну та паролю). Клієнт приймає на себе ризики фінансових втрат, що можуть виникнути внаслідок збоїв в апаратних засобах, програмному забезпеченні та внаслідок неякісного зв’язку зі сторони Клієнта та/або третіх осіб щодо яких </w:t>
      </w:r>
      <w:r w:rsidR="00EC60BC" w:rsidRPr="00A343F1">
        <w:rPr>
          <w:rFonts w:ascii="Times New Roman" w:hAnsi="Times New Roman" w:cs="Times New Roman"/>
          <w:b/>
          <w:bCs/>
          <w:color w:val="auto"/>
          <w:sz w:val="20"/>
          <w:szCs w:val="20"/>
          <w:lang w:val="uk-UA"/>
        </w:rPr>
        <w:t xml:space="preserve">Торговець </w:t>
      </w:r>
      <w:r w:rsidRPr="00A343F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не має можливості контролю (розрахункові банки, біржі, зберігачі, депозитарій, тощо). </w:t>
      </w:r>
    </w:p>
    <w:p w14:paraId="72DC3696" w14:textId="77777777" w:rsidR="00AA1D0B" w:rsidRPr="00A343F1" w:rsidRDefault="00AA1D0B" w:rsidP="00AA1D0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</w:p>
    <w:p w14:paraId="0527000C" w14:textId="2FB160F9" w:rsidR="00AA1D0B" w:rsidRPr="00A343F1" w:rsidRDefault="00AA1D0B" w:rsidP="00AA1D0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 w:rsidRPr="00A343F1">
        <w:rPr>
          <w:rFonts w:ascii="Times New Roman" w:hAnsi="Times New Roman" w:cs="Times New Roman"/>
          <w:color w:val="auto"/>
          <w:sz w:val="20"/>
          <w:szCs w:val="20"/>
          <w:lang w:val="uk-UA"/>
        </w:rPr>
        <w:t>9.</w:t>
      </w:r>
      <w:r w:rsidRPr="00A343F1">
        <w:rPr>
          <w:rFonts w:ascii="Times New Roman" w:hAnsi="Times New Roman" w:cs="Times New Roman"/>
          <w:b/>
          <w:color w:val="auto"/>
          <w:sz w:val="20"/>
          <w:szCs w:val="20"/>
          <w:lang w:val="uk-UA"/>
        </w:rPr>
        <w:t xml:space="preserve"> Ризик, пов'язаний із здійсненням професійної діяльності на фондовому ринку (надалі – ризик професійної діяльності)</w:t>
      </w:r>
      <w:r w:rsidRPr="00A343F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, розуміється як ймовірність настання подій, що приводять до неможливості виконання (неналежного виконання) професійним учасником своїх зобов'язань, пов'язаних із здійсненням професійної діяльності, але не виключно. </w:t>
      </w:r>
    </w:p>
    <w:p w14:paraId="44398109" w14:textId="77777777" w:rsidR="00AA1D0B" w:rsidRPr="00A343F1" w:rsidRDefault="00AA1D0B" w:rsidP="00AA1D0B">
      <w:pPr>
        <w:tabs>
          <w:tab w:val="left" w:pos="567"/>
        </w:tabs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ab/>
        <w:t>Ризики є незалежними один від одного і фінансові втрати по одному з ризиків не обов’язково збільшить ймовірність настання ризикового випадку по іншим фінансовим ризикам, тобто - фінансові наслідки по різним видам ризиків повинні ідентифікуватись окремо.</w:t>
      </w:r>
    </w:p>
    <w:p w14:paraId="6D180458" w14:textId="2E97EFD2" w:rsidR="00AA1D0B" w:rsidRPr="00A343F1" w:rsidRDefault="00AA1D0B" w:rsidP="00AA1D0B">
      <w:pPr>
        <w:tabs>
          <w:tab w:val="left" w:pos="567"/>
        </w:tabs>
        <w:rPr>
          <w:sz w:val="20"/>
          <w:szCs w:val="20"/>
          <w:lang w:val="uk-UA"/>
        </w:rPr>
      </w:pPr>
      <w:r w:rsidRPr="00A343F1">
        <w:rPr>
          <w:sz w:val="20"/>
          <w:szCs w:val="20"/>
          <w:lang w:val="uk-UA"/>
        </w:rPr>
        <w:t xml:space="preserve"> </w:t>
      </w:r>
      <w:r w:rsidRPr="00A343F1">
        <w:rPr>
          <w:sz w:val="20"/>
          <w:szCs w:val="20"/>
          <w:lang w:val="uk-UA"/>
        </w:rPr>
        <w:tab/>
        <w:t xml:space="preserve">Дана Декларація не містить вичерпного переліку всіх ризиків, які пов’язані з укладанням угод з фінансовими інструментами. Декларація спрямована допомогти Клієнту оцінити ризики таких операцій та </w:t>
      </w:r>
      <w:proofErr w:type="spellStart"/>
      <w:r w:rsidRPr="00A343F1">
        <w:rPr>
          <w:sz w:val="20"/>
          <w:szCs w:val="20"/>
          <w:lang w:val="uk-UA"/>
        </w:rPr>
        <w:t>відповідально</w:t>
      </w:r>
      <w:proofErr w:type="spellEnd"/>
      <w:r w:rsidRPr="00A343F1">
        <w:rPr>
          <w:sz w:val="20"/>
          <w:szCs w:val="20"/>
          <w:lang w:val="uk-UA"/>
        </w:rPr>
        <w:t xml:space="preserve"> вирішити питання щодо вибору інвестиційної стратегії.</w:t>
      </w:r>
    </w:p>
    <w:p w14:paraId="15D814A6" w14:textId="1D9CD11D" w:rsidR="002D53EB" w:rsidRPr="00A343F1" w:rsidRDefault="002D53EB" w:rsidP="00AA1D0B">
      <w:pPr>
        <w:tabs>
          <w:tab w:val="left" w:pos="567"/>
        </w:tabs>
        <w:rPr>
          <w:sz w:val="20"/>
          <w:szCs w:val="20"/>
          <w:lang w:val="uk-UA"/>
        </w:rPr>
      </w:pPr>
    </w:p>
    <w:p w14:paraId="240F10D7" w14:textId="77777777" w:rsidR="002D53EB" w:rsidRPr="00A343F1" w:rsidRDefault="002D53EB" w:rsidP="00AA1D0B">
      <w:pPr>
        <w:tabs>
          <w:tab w:val="left" w:pos="567"/>
        </w:tabs>
        <w:rPr>
          <w:sz w:val="20"/>
          <w:szCs w:val="20"/>
          <w:lang w:val="uk-UA"/>
        </w:rPr>
      </w:pPr>
    </w:p>
    <w:p w14:paraId="4D6B8826" w14:textId="77777777" w:rsidR="00AA1D0B" w:rsidRPr="00A343F1" w:rsidRDefault="00AA1D0B" w:rsidP="00AA1D0B">
      <w:pPr>
        <w:tabs>
          <w:tab w:val="left" w:pos="567"/>
        </w:tabs>
        <w:rPr>
          <w:sz w:val="20"/>
          <w:szCs w:val="20"/>
          <w:lang w:val="uk-UA"/>
        </w:rPr>
      </w:pPr>
      <w:bookmarkStart w:id="1" w:name="_Hlk68088144"/>
    </w:p>
    <w:tbl>
      <w:tblPr>
        <w:tblW w:w="0" w:type="auto"/>
        <w:tblLook w:val="01E0" w:firstRow="1" w:lastRow="1" w:firstColumn="1" w:lastColumn="1" w:noHBand="0" w:noVBand="0"/>
      </w:tblPr>
      <w:tblGrid>
        <w:gridCol w:w="4904"/>
        <w:gridCol w:w="4451"/>
      </w:tblGrid>
      <w:tr w:rsidR="00AA1D0B" w:rsidRPr="00A343F1" w14:paraId="6E970E83" w14:textId="77777777" w:rsidTr="00AA1D0B">
        <w:tc>
          <w:tcPr>
            <w:tcW w:w="5387" w:type="dxa"/>
          </w:tcPr>
          <w:p w14:paraId="3152EE1A" w14:textId="399B7702" w:rsidR="00AA1D0B" w:rsidRPr="00A343F1" w:rsidRDefault="00EC60BC" w:rsidP="00583C0E">
            <w:pPr>
              <w:ind w:firstLine="284"/>
              <w:jc w:val="center"/>
              <w:rPr>
                <w:b/>
                <w:sz w:val="20"/>
                <w:szCs w:val="20"/>
                <w:lang w:val="uk-UA"/>
              </w:rPr>
            </w:pPr>
            <w:r w:rsidRPr="00A343F1">
              <w:rPr>
                <w:b/>
                <w:sz w:val="20"/>
                <w:szCs w:val="20"/>
                <w:lang w:val="uk-UA"/>
              </w:rPr>
              <w:t>Торговець</w:t>
            </w:r>
            <w:r w:rsidR="00AA1D0B" w:rsidRPr="00A343F1">
              <w:rPr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4959" w:type="dxa"/>
          </w:tcPr>
          <w:p w14:paraId="55851C2F" w14:textId="77777777" w:rsidR="00AA1D0B" w:rsidRPr="00A343F1" w:rsidRDefault="00AA1D0B" w:rsidP="00583C0E">
            <w:pPr>
              <w:rPr>
                <w:b/>
                <w:sz w:val="20"/>
                <w:szCs w:val="20"/>
                <w:lang w:val="uk-UA"/>
              </w:rPr>
            </w:pPr>
            <w:bookmarkStart w:id="2" w:name="OLE_LINK42"/>
            <w:bookmarkStart w:id="3" w:name="OLE_LINK43"/>
            <w:bookmarkStart w:id="4" w:name="OLE_LINK44"/>
            <w:r w:rsidRPr="00A343F1">
              <w:rPr>
                <w:b/>
                <w:sz w:val="20"/>
                <w:szCs w:val="20"/>
                <w:lang w:val="uk-UA"/>
              </w:rPr>
              <w:t xml:space="preserve">                                                 </w:t>
            </w:r>
            <w:bookmarkEnd w:id="2"/>
            <w:bookmarkEnd w:id="3"/>
            <w:bookmarkEnd w:id="4"/>
            <w:r w:rsidRPr="00A343F1">
              <w:rPr>
                <w:b/>
                <w:sz w:val="20"/>
                <w:szCs w:val="20"/>
                <w:lang w:val="uk-UA"/>
              </w:rPr>
              <w:t>КЛІЄНТ</w:t>
            </w:r>
          </w:p>
        </w:tc>
      </w:tr>
      <w:tr w:rsidR="00AA1D0B" w:rsidRPr="00A343F1" w14:paraId="78A81484" w14:textId="77777777" w:rsidTr="00AA1D0B">
        <w:tc>
          <w:tcPr>
            <w:tcW w:w="5387" w:type="dxa"/>
          </w:tcPr>
          <w:p w14:paraId="3414B6D2" w14:textId="77777777" w:rsidR="00AA1D0B" w:rsidRPr="00A343F1" w:rsidRDefault="00AA1D0B" w:rsidP="00AA1D0B">
            <w:pPr>
              <w:pStyle w:val="Iauiue"/>
              <w:jc w:val="center"/>
              <w:rPr>
                <w:b/>
                <w:lang w:val="uk-UA"/>
              </w:rPr>
            </w:pPr>
            <w:r w:rsidRPr="00A343F1">
              <w:rPr>
                <w:b/>
                <w:lang w:val="uk-UA"/>
              </w:rPr>
              <w:t>АКЦІОНЕРНЕ ТОВАРИСТВО «СКАЙ БАНК»</w:t>
            </w:r>
          </w:p>
          <w:p w14:paraId="1534D849" w14:textId="77777777" w:rsidR="00AA1D0B" w:rsidRPr="00A343F1" w:rsidRDefault="00AA1D0B" w:rsidP="00AA1D0B">
            <w:pPr>
              <w:jc w:val="both"/>
              <w:rPr>
                <w:b/>
                <w:snapToGrid w:val="0"/>
                <w:sz w:val="20"/>
                <w:szCs w:val="20"/>
              </w:rPr>
            </w:pPr>
          </w:p>
          <w:p w14:paraId="46EB1791" w14:textId="77777777" w:rsidR="00AA1D0B" w:rsidRPr="00A343F1" w:rsidRDefault="00AA1D0B" w:rsidP="00AA1D0B">
            <w:pPr>
              <w:jc w:val="both"/>
              <w:rPr>
                <w:b/>
                <w:snapToGrid w:val="0"/>
                <w:sz w:val="20"/>
                <w:szCs w:val="20"/>
              </w:rPr>
            </w:pPr>
          </w:p>
          <w:p w14:paraId="3C292BB6" w14:textId="276D51F8" w:rsidR="00AA1D0B" w:rsidRPr="00A343F1" w:rsidRDefault="00294E52" w:rsidP="00AA1D0B">
            <w:pPr>
              <w:jc w:val="both"/>
              <w:rPr>
                <w:b/>
                <w:snapToGrid w:val="0"/>
                <w:sz w:val="20"/>
                <w:szCs w:val="20"/>
                <w:lang w:val="uk-UA"/>
              </w:rPr>
            </w:pPr>
            <w:r w:rsidRPr="00A343F1">
              <w:rPr>
                <w:b/>
                <w:snapToGrid w:val="0"/>
                <w:sz w:val="20"/>
                <w:szCs w:val="20"/>
                <w:lang w:val="uk-UA"/>
              </w:rPr>
              <w:t xml:space="preserve">                                  </w:t>
            </w:r>
            <w:r w:rsidR="00AA1D0B" w:rsidRPr="00A343F1">
              <w:rPr>
                <w:b/>
                <w:snapToGrid w:val="0"/>
                <w:sz w:val="20"/>
                <w:szCs w:val="20"/>
              </w:rPr>
              <w:t xml:space="preserve"> ___________ </w:t>
            </w:r>
            <w:r w:rsidRPr="00A343F1">
              <w:rPr>
                <w:b/>
                <w:snapToGrid w:val="0"/>
                <w:sz w:val="20"/>
                <w:szCs w:val="20"/>
                <w:lang w:val="uk-UA"/>
              </w:rPr>
              <w:t xml:space="preserve">                                   </w:t>
            </w:r>
          </w:p>
          <w:p w14:paraId="228D78E5" w14:textId="3319653C" w:rsidR="00AA1D0B" w:rsidRPr="00A343F1" w:rsidRDefault="00AA1D0B" w:rsidP="00AA1D0B">
            <w:pPr>
              <w:rPr>
                <w:b/>
                <w:sz w:val="20"/>
                <w:szCs w:val="20"/>
                <w:lang w:val="uk-UA"/>
              </w:rPr>
            </w:pPr>
            <w:r w:rsidRPr="00A343F1">
              <w:rPr>
                <w:b/>
                <w:sz w:val="20"/>
                <w:szCs w:val="20"/>
                <w:lang w:val="uk-UA"/>
              </w:rPr>
              <w:t xml:space="preserve">                                                     </w:t>
            </w:r>
            <w:proofErr w:type="spellStart"/>
            <w:r w:rsidRPr="00A343F1">
              <w:rPr>
                <w:b/>
                <w:sz w:val="20"/>
                <w:szCs w:val="20"/>
                <w:lang w:val="uk-UA"/>
              </w:rPr>
              <w:t>м.п</w:t>
            </w:r>
            <w:proofErr w:type="spellEnd"/>
            <w:r w:rsidRPr="00A343F1">
              <w:rPr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4959" w:type="dxa"/>
          </w:tcPr>
          <w:p w14:paraId="08EFF574" w14:textId="42E1EDF9" w:rsidR="00AA1D0B" w:rsidRPr="00A343F1" w:rsidRDefault="00AA1D0B" w:rsidP="00583C0E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bookmarkEnd w:id="1"/>
    </w:tbl>
    <w:p w14:paraId="5380E33F" w14:textId="77777777" w:rsidR="00AA1D0B" w:rsidRPr="00A343F1" w:rsidRDefault="00AA1D0B">
      <w:pPr>
        <w:rPr>
          <w:sz w:val="20"/>
          <w:szCs w:val="20"/>
        </w:rPr>
      </w:pPr>
    </w:p>
    <w:sectPr w:rsidR="00AA1D0B" w:rsidRPr="00A343F1" w:rsidSect="00A343F1">
      <w:footerReference w:type="even" r:id="rId7"/>
      <w:footerReference w:type="default" r:id="rId8"/>
      <w:pgSz w:w="11906" w:h="16838" w:code="9"/>
      <w:pgMar w:top="1134" w:right="850" w:bottom="1134" w:left="1701" w:header="794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579D1" w14:textId="77777777" w:rsidR="0010662B" w:rsidRDefault="00604A18">
      <w:r>
        <w:separator/>
      </w:r>
    </w:p>
  </w:endnote>
  <w:endnote w:type="continuationSeparator" w:id="0">
    <w:p w14:paraId="42D9FE37" w14:textId="77777777" w:rsidR="0010662B" w:rsidRDefault="0060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9D23" w14:textId="77777777" w:rsidR="00D160EB" w:rsidRDefault="00DF7E66" w:rsidP="008F08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623C4E" w14:textId="77777777" w:rsidR="00D160EB" w:rsidRDefault="00BA21F4" w:rsidP="0030186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6656" w14:textId="77777777" w:rsidR="00D160EB" w:rsidRPr="00F0142F" w:rsidRDefault="00DF7E66" w:rsidP="0018593F">
    <w:pPr>
      <w:pStyle w:val="a3"/>
      <w:framePr w:w="363" w:h="359" w:hRule="exact" w:wrap="around" w:vAnchor="text" w:hAnchor="page" w:x="11161" w:y="303"/>
      <w:rPr>
        <w:rStyle w:val="a5"/>
        <w:sz w:val="20"/>
        <w:szCs w:val="20"/>
      </w:rPr>
    </w:pPr>
    <w:r w:rsidRPr="00F0142F">
      <w:rPr>
        <w:rStyle w:val="a5"/>
        <w:sz w:val="20"/>
        <w:szCs w:val="20"/>
      </w:rPr>
      <w:fldChar w:fldCharType="begin"/>
    </w:r>
    <w:r w:rsidRPr="00F0142F">
      <w:rPr>
        <w:rStyle w:val="a5"/>
        <w:sz w:val="20"/>
        <w:szCs w:val="20"/>
      </w:rPr>
      <w:instrText xml:space="preserve">PAGE  </w:instrText>
    </w:r>
    <w:r w:rsidRPr="00F0142F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7</w:t>
    </w:r>
    <w:r w:rsidRPr="00F0142F">
      <w:rPr>
        <w:rStyle w:val="a5"/>
        <w:sz w:val="20"/>
        <w:szCs w:val="20"/>
      </w:rPr>
      <w:fldChar w:fldCharType="end"/>
    </w:r>
  </w:p>
  <w:p w14:paraId="6DC4ABC2" w14:textId="77777777" w:rsidR="00D160EB" w:rsidRPr="00161A44" w:rsidRDefault="00BA21F4" w:rsidP="004D67AC">
    <w:pPr>
      <w:pStyle w:val="a3"/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49BC" w14:textId="77777777" w:rsidR="0010662B" w:rsidRDefault="00604A18">
      <w:r>
        <w:separator/>
      </w:r>
    </w:p>
  </w:footnote>
  <w:footnote w:type="continuationSeparator" w:id="0">
    <w:p w14:paraId="2578D43A" w14:textId="77777777" w:rsidR="0010662B" w:rsidRDefault="00604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70A10"/>
    <w:multiLevelType w:val="multilevel"/>
    <w:tmpl w:val="918295CC"/>
    <w:lvl w:ilvl="0">
      <w:start w:val="1"/>
      <w:numFmt w:val="bullet"/>
      <w:lvlText w:val=""/>
      <w:lvlJc w:val="left"/>
      <w:pPr>
        <w:tabs>
          <w:tab w:val="num" w:pos="570"/>
        </w:tabs>
        <w:ind w:left="570" w:hanging="57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170" w:firstLine="170"/>
      </w:pPr>
      <w:rPr>
        <w:rFonts w:ascii="Times New Roman" w:hAnsi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1C4322D"/>
    <w:multiLevelType w:val="multilevel"/>
    <w:tmpl w:val="5E5A18BE"/>
    <w:lvl w:ilvl="0">
      <w:start w:val="1"/>
      <w:numFmt w:val="bullet"/>
      <w:lvlText w:val=""/>
      <w:lvlJc w:val="left"/>
      <w:pPr>
        <w:tabs>
          <w:tab w:val="num" w:pos="570"/>
        </w:tabs>
        <w:ind w:left="570" w:hanging="57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-170" w:firstLine="170"/>
      </w:pPr>
      <w:rPr>
        <w:rFonts w:ascii="Times New Roman" w:hAnsi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D0B"/>
    <w:rsid w:val="0010662B"/>
    <w:rsid w:val="00294E52"/>
    <w:rsid w:val="002D39AA"/>
    <w:rsid w:val="002D53EB"/>
    <w:rsid w:val="005A2D4A"/>
    <w:rsid w:val="00604A18"/>
    <w:rsid w:val="006538C6"/>
    <w:rsid w:val="00825C7C"/>
    <w:rsid w:val="00860FE7"/>
    <w:rsid w:val="00A343F1"/>
    <w:rsid w:val="00AA1D0B"/>
    <w:rsid w:val="00BA21F4"/>
    <w:rsid w:val="00DF7E66"/>
    <w:rsid w:val="00EC60BC"/>
    <w:rsid w:val="00F4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7C65"/>
  <w15:chartTrackingRefBased/>
  <w15:docId w15:val="{B49A0004-5038-461B-9682-666C0F65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1D0B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AA1D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A1D0B"/>
  </w:style>
  <w:style w:type="paragraph" w:customStyle="1" w:styleId="Iauiue">
    <w:name w:val="Iau?iue"/>
    <w:rsid w:val="00AA1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6">
    <w:name w:val="Normal (Web)"/>
    <w:aliases w:val=" Знак,Знак"/>
    <w:basedOn w:val="a"/>
    <w:link w:val="a7"/>
    <w:rsid w:val="00AA1D0B"/>
    <w:pPr>
      <w:suppressAutoHyphens/>
      <w:spacing w:before="280" w:after="280"/>
    </w:pPr>
    <w:rPr>
      <w:lang w:val="uk-UA" w:eastAsia="zh-CN"/>
    </w:rPr>
  </w:style>
  <w:style w:type="character" w:customStyle="1" w:styleId="a7">
    <w:name w:val="Обычный (Интернет) Знак"/>
    <w:aliases w:val=" Знак Знак,Знак Знак"/>
    <w:link w:val="a6"/>
    <w:rsid w:val="00AA1D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A1D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Кисіль Наталія Миколаївна</dc:creator>
  <cp:keywords/>
  <dc:description/>
  <cp:lastModifiedBy>Деревець Ірина Олексіївна</cp:lastModifiedBy>
  <cp:revision>2</cp:revision>
  <cp:lastPrinted>2021-03-31T11:04:00Z</cp:lastPrinted>
  <dcterms:created xsi:type="dcterms:W3CDTF">2021-09-07T13:09:00Z</dcterms:created>
  <dcterms:modified xsi:type="dcterms:W3CDTF">2021-09-07T13:09:00Z</dcterms:modified>
</cp:coreProperties>
</file>